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C6" w:rsidRDefault="007067C6"/>
    <w:p w:rsidR="001E13BB" w:rsidRPr="00AB0DDC" w:rsidRDefault="00C62C1C">
      <w:pPr>
        <w:rPr>
          <w:rFonts w:ascii="Calibri" w:hAnsi="Calibri" w:cs="Calibri"/>
          <w:sz w:val="28"/>
          <w:szCs w:val="28"/>
        </w:rPr>
      </w:pPr>
      <w:r w:rsidRPr="00AB0DDC">
        <w:rPr>
          <w:rFonts w:ascii="Calibri" w:hAnsi="Calibri" w:cs="Calibri"/>
          <w:sz w:val="28"/>
          <w:szCs w:val="28"/>
        </w:rPr>
        <w:fldChar w:fldCharType="begin"/>
      </w:r>
      <w:r w:rsidR="00EE0A25" w:rsidRPr="00AB0DDC">
        <w:rPr>
          <w:rFonts w:ascii="Calibri" w:hAnsi="Calibri" w:cs="Calibri"/>
          <w:sz w:val="28"/>
          <w:szCs w:val="28"/>
        </w:rPr>
        <w:instrText xml:space="preserve"> DATE \@ "dddd, MMMM d, yyyy" </w:instrText>
      </w:r>
      <w:r w:rsidRPr="00AB0DDC">
        <w:rPr>
          <w:rFonts w:ascii="Calibri" w:hAnsi="Calibri" w:cs="Calibri"/>
          <w:sz w:val="28"/>
          <w:szCs w:val="28"/>
        </w:rPr>
        <w:fldChar w:fldCharType="separate"/>
      </w:r>
      <w:r w:rsidR="00742BF5">
        <w:rPr>
          <w:rFonts w:ascii="Calibri" w:hAnsi="Calibri" w:cs="Calibri"/>
          <w:noProof/>
          <w:sz w:val="28"/>
          <w:szCs w:val="28"/>
        </w:rPr>
        <w:t>Tuesday, May 23, 2017</w:t>
      </w:r>
      <w:r w:rsidRPr="00AB0DDC">
        <w:rPr>
          <w:rFonts w:ascii="Calibri" w:hAnsi="Calibri" w:cs="Calibri"/>
          <w:sz w:val="28"/>
          <w:szCs w:val="28"/>
        </w:rPr>
        <w:fldChar w:fldCharType="end"/>
      </w:r>
    </w:p>
    <w:p w:rsidR="00742BF5" w:rsidRDefault="00742BF5" w:rsidP="00FC66BF">
      <w:pPr>
        <w:spacing w:after="0"/>
        <w:rPr>
          <w:rFonts w:ascii="Calibri" w:hAnsi="Calibri" w:cs="Calibri"/>
          <w:sz w:val="28"/>
          <w:szCs w:val="28"/>
        </w:rPr>
      </w:pPr>
    </w:p>
    <w:p w:rsidR="00742BF5" w:rsidRDefault="00742BF5" w:rsidP="00FC66BF">
      <w:pPr>
        <w:spacing w:after="0"/>
        <w:rPr>
          <w:rFonts w:ascii="Calibri" w:hAnsi="Calibri" w:cs="Calibri"/>
          <w:sz w:val="28"/>
          <w:szCs w:val="28"/>
        </w:rPr>
      </w:pPr>
    </w:p>
    <w:p w:rsidR="00742BF5" w:rsidRDefault="00742BF5" w:rsidP="00FC66BF">
      <w:pPr>
        <w:spacing w:after="0"/>
        <w:rPr>
          <w:rFonts w:ascii="Calibri" w:hAnsi="Calibri" w:cs="Calibri"/>
          <w:sz w:val="28"/>
          <w:szCs w:val="28"/>
        </w:rPr>
      </w:pPr>
    </w:p>
    <w:p w:rsidR="00742BF5" w:rsidRDefault="00742BF5" w:rsidP="00FC66BF">
      <w:pPr>
        <w:spacing w:after="0"/>
        <w:rPr>
          <w:rFonts w:ascii="Calibri" w:hAnsi="Calibri" w:cs="Calibri"/>
          <w:sz w:val="28"/>
          <w:szCs w:val="28"/>
        </w:rPr>
      </w:pPr>
    </w:p>
    <w:p w:rsidR="00FC66BF" w:rsidRPr="00AB0DDC" w:rsidRDefault="00FC66BF" w:rsidP="00FC66BF">
      <w:pPr>
        <w:spacing w:after="0"/>
        <w:rPr>
          <w:rFonts w:ascii="Calibri" w:hAnsi="Calibri" w:cs="Calibri"/>
          <w:sz w:val="28"/>
          <w:szCs w:val="28"/>
        </w:rPr>
      </w:pPr>
      <w:r w:rsidRPr="00AB0DDC">
        <w:rPr>
          <w:rFonts w:ascii="Calibri" w:hAnsi="Calibri" w:cs="Calibri"/>
          <w:sz w:val="28"/>
          <w:szCs w:val="28"/>
        </w:rPr>
        <w:t xml:space="preserve">Re: </w:t>
      </w:r>
      <w:r w:rsidRPr="00AB0DDC">
        <w:rPr>
          <w:rFonts w:ascii="Calibri" w:hAnsi="Calibri" w:cs="Calibri"/>
          <w:sz w:val="28"/>
          <w:szCs w:val="28"/>
        </w:rPr>
        <w:tab/>
        <w:t>Retiree Drug Subsidy Reopening</w:t>
      </w:r>
    </w:p>
    <w:p w:rsidR="00FC66BF" w:rsidRPr="00AB0DDC" w:rsidRDefault="00FC66BF" w:rsidP="00FC66BF">
      <w:pPr>
        <w:spacing w:after="0"/>
        <w:rPr>
          <w:rFonts w:ascii="Calibri" w:hAnsi="Calibri" w:cs="Calibri"/>
          <w:sz w:val="28"/>
          <w:szCs w:val="28"/>
        </w:rPr>
      </w:pPr>
      <w:r w:rsidRPr="00AB0DDC">
        <w:rPr>
          <w:rFonts w:ascii="Calibri" w:hAnsi="Calibri" w:cs="Calibri"/>
          <w:sz w:val="28"/>
          <w:szCs w:val="28"/>
        </w:rPr>
        <w:t xml:space="preserve">Attn: </w:t>
      </w:r>
    </w:p>
    <w:p w:rsidR="00FC66BF" w:rsidRPr="00AB0DDC" w:rsidRDefault="00FC66BF" w:rsidP="00FC66BF">
      <w:pPr>
        <w:spacing w:after="0"/>
        <w:rPr>
          <w:rFonts w:ascii="Calibri" w:hAnsi="Calibri" w:cs="Calibri"/>
          <w:sz w:val="28"/>
          <w:szCs w:val="28"/>
        </w:rPr>
      </w:pPr>
    </w:p>
    <w:p w:rsidR="00FC66BF" w:rsidRPr="00AB0DDC" w:rsidRDefault="00FC66BF">
      <w:pPr>
        <w:rPr>
          <w:rFonts w:ascii="Calibri" w:hAnsi="Calibri" w:cs="Calibri"/>
          <w:sz w:val="28"/>
          <w:szCs w:val="28"/>
        </w:rPr>
      </w:pPr>
      <w:r w:rsidRPr="00AB0DDC">
        <w:rPr>
          <w:rFonts w:ascii="Calibri" w:hAnsi="Calibri" w:cs="Calibri"/>
          <w:sz w:val="28"/>
          <w:szCs w:val="28"/>
        </w:rPr>
        <w:t xml:space="preserve">Dear </w:t>
      </w:r>
      <w:proofErr w:type="spellStart"/>
      <w:r w:rsidRPr="00AB0DDC">
        <w:rPr>
          <w:rFonts w:ascii="Calibri" w:hAnsi="Calibri" w:cs="Calibri"/>
          <w:sz w:val="28"/>
          <w:szCs w:val="28"/>
        </w:rPr>
        <w:t>Mr</w:t>
      </w:r>
      <w:proofErr w:type="spellEnd"/>
    </w:p>
    <w:p w:rsidR="001C7A18" w:rsidRDefault="00F61905" w:rsidP="009B466A">
      <w:pPr>
        <w:spacing w:line="360" w:lineRule="auto"/>
        <w:rPr>
          <w:rFonts w:ascii="Calibri" w:hAnsi="Calibri" w:cs="Calibri"/>
          <w:sz w:val="28"/>
          <w:szCs w:val="28"/>
        </w:rPr>
      </w:pPr>
      <w:r w:rsidRPr="00AB0DDC">
        <w:rPr>
          <w:rFonts w:ascii="Calibri" w:hAnsi="Calibri" w:cs="Calibri"/>
          <w:sz w:val="28"/>
          <w:szCs w:val="28"/>
        </w:rPr>
        <w:t xml:space="preserve">As a follow up to </w:t>
      </w:r>
      <w:r w:rsidR="00AB0DDC">
        <w:rPr>
          <w:rFonts w:ascii="Calibri" w:hAnsi="Calibri" w:cs="Calibri"/>
          <w:sz w:val="28"/>
          <w:szCs w:val="28"/>
        </w:rPr>
        <w:t>the</w:t>
      </w:r>
      <w:r w:rsidRPr="00AB0DDC">
        <w:rPr>
          <w:rFonts w:ascii="Calibri" w:hAnsi="Calibri" w:cs="Calibri"/>
          <w:sz w:val="28"/>
          <w:szCs w:val="28"/>
        </w:rPr>
        <w:t xml:space="preserve"> notice </w:t>
      </w:r>
      <w:r w:rsidR="009B466A">
        <w:rPr>
          <w:rFonts w:ascii="Calibri" w:hAnsi="Calibri" w:cs="Calibri"/>
          <w:sz w:val="28"/>
          <w:szCs w:val="28"/>
        </w:rPr>
        <w:t xml:space="preserve">I sent you </w:t>
      </w:r>
      <w:r w:rsidRPr="00AB0DDC">
        <w:rPr>
          <w:rFonts w:ascii="Calibri" w:hAnsi="Calibri" w:cs="Calibri"/>
          <w:sz w:val="28"/>
          <w:szCs w:val="28"/>
        </w:rPr>
        <w:t>of a potential underfunding of your organizations Retiree Drug Subsidy account</w:t>
      </w:r>
      <w:r w:rsidR="001C7A18">
        <w:rPr>
          <w:rFonts w:ascii="Calibri" w:hAnsi="Calibri" w:cs="Calibri"/>
          <w:sz w:val="28"/>
          <w:szCs w:val="28"/>
        </w:rPr>
        <w:t>.</w:t>
      </w:r>
    </w:p>
    <w:p w:rsidR="00AB0DDC" w:rsidRPr="001C7A18" w:rsidRDefault="001C7A18" w:rsidP="009B466A">
      <w:pPr>
        <w:spacing w:line="360" w:lineRule="auto"/>
        <w:rPr>
          <w:rFonts w:ascii="Calibri" w:hAnsi="Calibri" w:cs="Calibri"/>
          <w:b/>
          <w:sz w:val="28"/>
          <w:szCs w:val="28"/>
        </w:rPr>
      </w:pPr>
      <w:r>
        <w:rPr>
          <w:rFonts w:ascii="Calibri" w:hAnsi="Calibri" w:cs="Calibri"/>
          <w:b/>
          <w:sz w:val="28"/>
          <w:szCs w:val="28"/>
        </w:rPr>
        <w:t xml:space="preserve">I </w:t>
      </w:r>
      <w:r w:rsidR="00AB0DDC" w:rsidRPr="001C7A18">
        <w:rPr>
          <w:rFonts w:ascii="Calibri" w:hAnsi="Calibri" w:cs="Calibri"/>
          <w:b/>
          <w:sz w:val="28"/>
          <w:szCs w:val="28"/>
        </w:rPr>
        <w:t xml:space="preserve">wanted to present </w:t>
      </w:r>
      <w:r w:rsidR="00F35634" w:rsidRPr="001C7A18">
        <w:rPr>
          <w:rFonts w:ascii="Calibri" w:hAnsi="Calibri" w:cs="Calibri"/>
          <w:b/>
          <w:sz w:val="28"/>
          <w:szCs w:val="28"/>
        </w:rPr>
        <w:t xml:space="preserve">the most compelling </w:t>
      </w:r>
      <w:r w:rsidR="00AB0DDC" w:rsidRPr="001C7A18">
        <w:rPr>
          <w:rFonts w:ascii="Calibri" w:hAnsi="Calibri" w:cs="Calibri"/>
          <w:b/>
          <w:sz w:val="28"/>
          <w:szCs w:val="28"/>
        </w:rPr>
        <w:t xml:space="preserve">reason for </w:t>
      </w:r>
      <w:r>
        <w:rPr>
          <w:rFonts w:ascii="Calibri" w:hAnsi="Calibri" w:cs="Calibri"/>
          <w:b/>
          <w:sz w:val="28"/>
          <w:szCs w:val="28"/>
        </w:rPr>
        <w:t xml:space="preserve">a plan sponsor to proceed with </w:t>
      </w:r>
      <w:r w:rsidR="00AB0DDC" w:rsidRPr="001C7A18">
        <w:rPr>
          <w:rFonts w:ascii="Calibri" w:hAnsi="Calibri" w:cs="Calibri"/>
          <w:b/>
          <w:sz w:val="28"/>
          <w:szCs w:val="28"/>
        </w:rPr>
        <w:t xml:space="preserve">conducting the Retiree Drug Subsidy reopening. </w:t>
      </w:r>
    </w:p>
    <w:p w:rsidR="009B466A" w:rsidRDefault="001B545A" w:rsidP="009B466A">
      <w:pPr>
        <w:spacing w:line="360" w:lineRule="auto"/>
        <w:rPr>
          <w:rFonts w:ascii="Calibri" w:hAnsi="Calibri" w:cs="Calibri"/>
          <w:sz w:val="28"/>
          <w:szCs w:val="28"/>
        </w:rPr>
      </w:pPr>
      <w:r w:rsidRPr="00AB0DDC">
        <w:rPr>
          <w:rFonts w:ascii="Calibri" w:hAnsi="Calibri" w:cs="Calibri"/>
          <w:sz w:val="28"/>
          <w:szCs w:val="28"/>
        </w:rPr>
        <w:t xml:space="preserve"> </w:t>
      </w:r>
      <w:r w:rsidR="00F61905" w:rsidRPr="00AB0DDC">
        <w:rPr>
          <w:rFonts w:ascii="Calibri" w:hAnsi="Calibri" w:cs="Calibri"/>
          <w:sz w:val="28"/>
          <w:szCs w:val="28"/>
        </w:rPr>
        <w:t xml:space="preserve">As a plan sponsor, your organization is considered a fiduciary </w:t>
      </w:r>
      <w:r w:rsidR="009B466A">
        <w:rPr>
          <w:rFonts w:ascii="Calibri" w:hAnsi="Calibri" w:cs="Calibri"/>
          <w:sz w:val="28"/>
          <w:szCs w:val="28"/>
        </w:rPr>
        <w:t xml:space="preserve">in relation to the Retiree Drug Subsidy payments that are being received or not being received from the RDS Service center.  </w:t>
      </w:r>
    </w:p>
    <w:p w:rsidR="00F61905" w:rsidRPr="00AB0DDC" w:rsidRDefault="009B466A" w:rsidP="009B466A">
      <w:pPr>
        <w:spacing w:line="360" w:lineRule="auto"/>
        <w:rPr>
          <w:rFonts w:ascii="Calibri" w:hAnsi="Calibri" w:cs="Calibri"/>
          <w:sz w:val="28"/>
          <w:szCs w:val="28"/>
        </w:rPr>
      </w:pPr>
      <w:r>
        <w:rPr>
          <w:rFonts w:ascii="Calibri" w:hAnsi="Calibri" w:cs="Calibri"/>
          <w:sz w:val="28"/>
          <w:szCs w:val="28"/>
        </w:rPr>
        <w:t xml:space="preserve">As a fiduciary, you are responsible for the </w:t>
      </w:r>
      <w:r w:rsidR="00F61905" w:rsidRPr="00AB0DDC">
        <w:rPr>
          <w:rFonts w:ascii="Calibri" w:hAnsi="Calibri" w:cs="Calibri"/>
          <w:sz w:val="28"/>
          <w:szCs w:val="28"/>
        </w:rPr>
        <w:t xml:space="preserve">benefits </w:t>
      </w:r>
      <w:r>
        <w:rPr>
          <w:rFonts w:ascii="Calibri" w:hAnsi="Calibri" w:cs="Calibri"/>
          <w:sz w:val="28"/>
          <w:szCs w:val="28"/>
        </w:rPr>
        <w:t xml:space="preserve">of the </w:t>
      </w:r>
      <w:r w:rsidR="00F61905" w:rsidRPr="00AB0DDC">
        <w:rPr>
          <w:rFonts w:ascii="Calibri" w:hAnsi="Calibri" w:cs="Calibri"/>
          <w:sz w:val="28"/>
          <w:szCs w:val="28"/>
        </w:rPr>
        <w:t>prescription drugs that are provided by the plan</w:t>
      </w:r>
      <w:r>
        <w:rPr>
          <w:rFonts w:ascii="Calibri" w:hAnsi="Calibri" w:cs="Calibri"/>
          <w:sz w:val="28"/>
          <w:szCs w:val="28"/>
        </w:rPr>
        <w:t xml:space="preserve">, as well as the cost. </w:t>
      </w:r>
      <w:r w:rsidR="00F61905" w:rsidRPr="00AB0DDC">
        <w:rPr>
          <w:rFonts w:ascii="Calibri" w:hAnsi="Calibri" w:cs="Calibri"/>
          <w:sz w:val="28"/>
          <w:szCs w:val="28"/>
        </w:rPr>
        <w:t>The prescription drugs are provided by the plan at a specific cost based on the negotiated pricing from the prescription benefit manager</w:t>
      </w:r>
      <w:r w:rsidR="00F35634">
        <w:rPr>
          <w:rFonts w:ascii="Calibri" w:hAnsi="Calibri" w:cs="Calibri"/>
          <w:sz w:val="28"/>
          <w:szCs w:val="28"/>
        </w:rPr>
        <w:t>;</w:t>
      </w:r>
      <w:r w:rsidR="00F61905" w:rsidRPr="00AB0DDC">
        <w:rPr>
          <w:rFonts w:ascii="Calibri" w:hAnsi="Calibri" w:cs="Calibri"/>
          <w:sz w:val="28"/>
          <w:szCs w:val="28"/>
        </w:rPr>
        <w:t xml:space="preserve"> in combination with the cost reducing Retiree Drug Subsidy that is provided by the Centers for Medicare and Medicaid Services. </w:t>
      </w:r>
    </w:p>
    <w:p w:rsidR="008738A1" w:rsidRDefault="00F61905" w:rsidP="009B466A">
      <w:pPr>
        <w:spacing w:line="360" w:lineRule="auto"/>
        <w:rPr>
          <w:rFonts w:ascii="Calibri" w:hAnsi="Calibri" w:cs="Calibri"/>
          <w:sz w:val="28"/>
          <w:szCs w:val="28"/>
        </w:rPr>
      </w:pPr>
      <w:r w:rsidRPr="00AB0DDC">
        <w:rPr>
          <w:rFonts w:ascii="Calibri" w:hAnsi="Calibri" w:cs="Calibri"/>
          <w:sz w:val="28"/>
          <w:szCs w:val="28"/>
        </w:rPr>
        <w:t xml:space="preserve">The Retiree Drug Subsidy provides a significant offset to the cost of the </w:t>
      </w:r>
      <w:r w:rsidR="00F35634">
        <w:rPr>
          <w:rFonts w:ascii="Calibri" w:hAnsi="Calibri" w:cs="Calibri"/>
          <w:sz w:val="28"/>
          <w:szCs w:val="28"/>
        </w:rPr>
        <w:t xml:space="preserve">prescription drug </w:t>
      </w:r>
      <w:r w:rsidRPr="00AB0DDC">
        <w:rPr>
          <w:rFonts w:ascii="Calibri" w:hAnsi="Calibri" w:cs="Calibri"/>
          <w:sz w:val="28"/>
          <w:szCs w:val="28"/>
        </w:rPr>
        <w:t xml:space="preserve">benefit and keeps the beneficiaries’ co-payments lower. </w:t>
      </w:r>
    </w:p>
    <w:p w:rsidR="008738A1" w:rsidRDefault="008738A1" w:rsidP="009B466A">
      <w:pPr>
        <w:spacing w:line="360" w:lineRule="auto"/>
        <w:rPr>
          <w:rFonts w:ascii="Calibri" w:hAnsi="Calibri" w:cs="Calibri"/>
          <w:sz w:val="28"/>
          <w:szCs w:val="28"/>
        </w:rPr>
      </w:pPr>
    </w:p>
    <w:p w:rsidR="002932D5" w:rsidRPr="008738A1" w:rsidRDefault="00F61905" w:rsidP="009B466A">
      <w:pPr>
        <w:spacing w:line="360" w:lineRule="auto"/>
        <w:rPr>
          <w:rFonts w:ascii="Calibri" w:hAnsi="Calibri" w:cs="Calibri"/>
          <w:b/>
          <w:sz w:val="28"/>
          <w:szCs w:val="28"/>
        </w:rPr>
      </w:pPr>
      <w:r w:rsidRPr="008738A1">
        <w:rPr>
          <w:rFonts w:ascii="Calibri" w:hAnsi="Calibri" w:cs="Calibri"/>
          <w:b/>
          <w:sz w:val="28"/>
          <w:szCs w:val="28"/>
        </w:rPr>
        <w:t xml:space="preserve">This is a direct and tangible </w:t>
      </w:r>
      <w:r w:rsidR="001B545A" w:rsidRPr="008738A1">
        <w:rPr>
          <w:rFonts w:ascii="Calibri" w:hAnsi="Calibri" w:cs="Calibri"/>
          <w:b/>
          <w:sz w:val="28"/>
          <w:szCs w:val="28"/>
        </w:rPr>
        <w:t>cost offset</w:t>
      </w:r>
      <w:r w:rsidRPr="008738A1">
        <w:rPr>
          <w:rFonts w:ascii="Calibri" w:hAnsi="Calibri" w:cs="Calibri"/>
          <w:b/>
          <w:sz w:val="28"/>
          <w:szCs w:val="28"/>
        </w:rPr>
        <w:t xml:space="preserve"> that can be attributed to the Retiree Drug Subsidy</w:t>
      </w:r>
      <w:r w:rsidR="00F35634" w:rsidRPr="008738A1">
        <w:rPr>
          <w:rFonts w:ascii="Calibri" w:hAnsi="Calibri" w:cs="Calibri"/>
          <w:b/>
          <w:sz w:val="28"/>
          <w:szCs w:val="28"/>
        </w:rPr>
        <w:t xml:space="preserve"> and the actions of the plans fiduciary activity</w:t>
      </w:r>
      <w:r w:rsidRPr="008738A1">
        <w:rPr>
          <w:rFonts w:ascii="Calibri" w:hAnsi="Calibri" w:cs="Calibri"/>
          <w:b/>
          <w:sz w:val="28"/>
          <w:szCs w:val="28"/>
        </w:rPr>
        <w:t xml:space="preserve">. </w:t>
      </w:r>
    </w:p>
    <w:p w:rsidR="002932D5" w:rsidRPr="00F35634" w:rsidRDefault="00F35634" w:rsidP="009B466A">
      <w:pPr>
        <w:spacing w:line="360" w:lineRule="auto"/>
        <w:rPr>
          <w:rFonts w:ascii="Calibri" w:hAnsi="Calibri" w:cs="Calibri"/>
          <w:i/>
          <w:sz w:val="28"/>
          <w:szCs w:val="28"/>
          <w:u w:val="single"/>
        </w:rPr>
      </w:pPr>
      <w:r w:rsidRPr="00F35634">
        <w:rPr>
          <w:rFonts w:ascii="Calibri" w:hAnsi="Calibri" w:cs="Calibri"/>
          <w:i/>
          <w:sz w:val="28"/>
          <w:szCs w:val="28"/>
          <w:u w:val="single"/>
        </w:rPr>
        <w:t>B</w:t>
      </w:r>
      <w:r w:rsidR="002932D5" w:rsidRPr="00F35634">
        <w:rPr>
          <w:rFonts w:ascii="Calibri" w:hAnsi="Calibri" w:cs="Calibri"/>
          <w:i/>
          <w:sz w:val="28"/>
          <w:szCs w:val="28"/>
          <w:u w:val="single"/>
        </w:rPr>
        <w:t xml:space="preserve">eing a fiduciary is a burden with significant liability for the actions that are taken. </w:t>
      </w:r>
      <w:r w:rsidR="001B545A" w:rsidRPr="00F35634">
        <w:rPr>
          <w:rFonts w:ascii="Calibri" w:hAnsi="Calibri" w:cs="Calibri"/>
          <w:i/>
          <w:sz w:val="28"/>
          <w:szCs w:val="28"/>
          <w:u w:val="single"/>
        </w:rPr>
        <w:t>Every acti</w:t>
      </w:r>
      <w:r w:rsidRPr="00F35634">
        <w:rPr>
          <w:rFonts w:ascii="Calibri" w:hAnsi="Calibri" w:cs="Calibri"/>
          <w:i/>
          <w:sz w:val="28"/>
          <w:szCs w:val="28"/>
          <w:u w:val="single"/>
        </w:rPr>
        <w:t>on must be carefully considered, h</w:t>
      </w:r>
      <w:r w:rsidR="002932D5" w:rsidRPr="00F35634">
        <w:rPr>
          <w:rFonts w:ascii="Calibri" w:hAnsi="Calibri" w:cs="Calibri"/>
          <w:i/>
          <w:sz w:val="28"/>
          <w:szCs w:val="28"/>
          <w:u w:val="single"/>
        </w:rPr>
        <w:t>owever, in the case of the Retiree Drug Subsidy</w:t>
      </w:r>
      <w:r w:rsidRPr="00F35634">
        <w:rPr>
          <w:rFonts w:ascii="Calibri" w:hAnsi="Calibri" w:cs="Calibri"/>
          <w:i/>
          <w:sz w:val="28"/>
          <w:szCs w:val="28"/>
          <w:u w:val="single"/>
        </w:rPr>
        <w:t xml:space="preserve"> reopening</w:t>
      </w:r>
      <w:r w:rsidR="002932D5" w:rsidRPr="00F35634">
        <w:rPr>
          <w:rFonts w:ascii="Calibri" w:hAnsi="Calibri" w:cs="Calibri"/>
          <w:i/>
          <w:sz w:val="28"/>
          <w:szCs w:val="28"/>
          <w:u w:val="single"/>
        </w:rPr>
        <w:t>, inaction will create the liability. To have a known potential increase o</w:t>
      </w:r>
      <w:r w:rsidR="001B545A" w:rsidRPr="00F35634">
        <w:rPr>
          <w:rFonts w:ascii="Calibri" w:hAnsi="Calibri" w:cs="Calibri"/>
          <w:i/>
          <w:sz w:val="28"/>
          <w:szCs w:val="28"/>
          <w:u w:val="single"/>
        </w:rPr>
        <w:t>f the Retiree Drug Subsidy and n</w:t>
      </w:r>
      <w:r w:rsidR="002932D5" w:rsidRPr="00F35634">
        <w:rPr>
          <w:rFonts w:ascii="Calibri" w:hAnsi="Calibri" w:cs="Calibri"/>
          <w:i/>
          <w:sz w:val="28"/>
          <w:szCs w:val="28"/>
          <w:u w:val="single"/>
        </w:rPr>
        <w:t xml:space="preserve">ot take steps to recover those monies is where the liability </w:t>
      </w:r>
      <w:r w:rsidR="001B545A" w:rsidRPr="00F35634">
        <w:rPr>
          <w:rFonts w:ascii="Calibri" w:hAnsi="Calibri" w:cs="Calibri"/>
          <w:i/>
          <w:sz w:val="28"/>
          <w:szCs w:val="28"/>
          <w:u w:val="single"/>
        </w:rPr>
        <w:t xml:space="preserve">to the plan sponsor </w:t>
      </w:r>
      <w:r w:rsidR="002932D5" w:rsidRPr="00F35634">
        <w:rPr>
          <w:rFonts w:ascii="Calibri" w:hAnsi="Calibri" w:cs="Calibri"/>
          <w:i/>
          <w:sz w:val="28"/>
          <w:szCs w:val="28"/>
          <w:u w:val="single"/>
        </w:rPr>
        <w:t xml:space="preserve">will be </w:t>
      </w:r>
      <w:r w:rsidR="001B545A" w:rsidRPr="00F35634">
        <w:rPr>
          <w:rFonts w:ascii="Calibri" w:hAnsi="Calibri" w:cs="Calibri"/>
          <w:i/>
          <w:sz w:val="28"/>
          <w:szCs w:val="28"/>
          <w:u w:val="single"/>
        </w:rPr>
        <w:t xml:space="preserve">incurred. </w:t>
      </w:r>
    </w:p>
    <w:p w:rsidR="001B545A" w:rsidRDefault="001B545A" w:rsidP="009B466A">
      <w:pPr>
        <w:spacing w:line="360" w:lineRule="auto"/>
        <w:rPr>
          <w:rFonts w:ascii="Calibri" w:hAnsi="Calibri" w:cs="Calibri"/>
          <w:sz w:val="28"/>
          <w:szCs w:val="28"/>
        </w:rPr>
      </w:pPr>
      <w:r w:rsidRPr="00AB0DDC">
        <w:rPr>
          <w:rFonts w:ascii="Calibri" w:hAnsi="Calibri" w:cs="Calibri"/>
          <w:sz w:val="28"/>
          <w:szCs w:val="28"/>
        </w:rPr>
        <w:t xml:space="preserve">So before you decide to not take action to recover any additional monies from the Retiree Drug Subsidy program, I would ask you to consider the following information published by the </w:t>
      </w:r>
      <w:r w:rsidR="00A07AA1">
        <w:rPr>
          <w:rFonts w:ascii="Calibri" w:hAnsi="Calibri" w:cs="Calibri"/>
          <w:sz w:val="28"/>
          <w:szCs w:val="28"/>
        </w:rPr>
        <w:t>Corporate Governance Research Institute</w:t>
      </w:r>
      <w:r w:rsidRPr="00AB0DDC">
        <w:rPr>
          <w:rFonts w:ascii="Calibri" w:hAnsi="Calibri" w:cs="Calibri"/>
          <w:sz w:val="28"/>
          <w:szCs w:val="28"/>
        </w:rPr>
        <w:t xml:space="preserve">. </w:t>
      </w:r>
    </w:p>
    <w:p w:rsidR="00A23C06" w:rsidRPr="00AB0DDC" w:rsidRDefault="00A23C06" w:rsidP="009B466A">
      <w:pPr>
        <w:pStyle w:val="Heading2"/>
        <w:shd w:val="clear" w:color="auto" w:fill="F4F6F8"/>
        <w:spacing w:before="406" w:after="304" w:line="360" w:lineRule="auto"/>
        <w:rPr>
          <w:rFonts w:ascii="Calibri" w:hAnsi="Calibri" w:cs="Calibri"/>
          <w:b w:val="0"/>
          <w:bCs w:val="0"/>
          <w:caps/>
          <w:color w:val="022F56"/>
          <w:spacing w:val="20"/>
          <w:sz w:val="28"/>
          <w:szCs w:val="28"/>
        </w:rPr>
      </w:pPr>
      <w:r w:rsidRPr="00AB0DDC">
        <w:rPr>
          <w:rFonts w:ascii="Calibri" w:hAnsi="Calibri" w:cs="Calibri"/>
          <w:b w:val="0"/>
          <w:bCs w:val="0"/>
          <w:caps/>
          <w:color w:val="022F56"/>
          <w:spacing w:val="20"/>
          <w:sz w:val="28"/>
          <w:szCs w:val="28"/>
        </w:rPr>
        <w:t>WHAT IS A FIDUCIARY ACTIVITY?</w:t>
      </w:r>
    </w:p>
    <w:p w:rsidR="00A07AA1" w:rsidRDefault="00A23C06" w:rsidP="009B466A">
      <w:pPr>
        <w:spacing w:line="360" w:lineRule="auto"/>
        <w:rPr>
          <w:sz w:val="28"/>
          <w:szCs w:val="28"/>
        </w:rPr>
      </w:pPr>
      <w:r w:rsidRPr="00A07AA1">
        <w:rPr>
          <w:rFonts w:ascii="Calibri" w:hAnsi="Calibri" w:cs="Calibri"/>
          <w:color w:val="3C3C3D"/>
          <w:sz w:val="28"/>
          <w:szCs w:val="28"/>
          <w:shd w:val="clear" w:color="auto" w:fill="F4F6F8"/>
        </w:rPr>
        <w:t>Just what exactly constitutes a fiduciary activity seems fairly straightforward</w:t>
      </w:r>
      <w:r w:rsidR="00A07AA1">
        <w:rPr>
          <w:sz w:val="28"/>
          <w:szCs w:val="28"/>
        </w:rPr>
        <w:t xml:space="preserve">. </w:t>
      </w:r>
      <w:r w:rsidR="00A07AA1" w:rsidRPr="00A07AA1">
        <w:rPr>
          <w:sz w:val="28"/>
          <w:szCs w:val="28"/>
        </w:rPr>
        <w:t>Under state corporate law, fiduciary duty</w:t>
      </w:r>
      <w:r w:rsidR="00A07AA1">
        <w:rPr>
          <w:sz w:val="28"/>
          <w:szCs w:val="28"/>
        </w:rPr>
        <w:t xml:space="preserve"> is defined as the following</w:t>
      </w:r>
      <w:r w:rsidR="00A07AA1" w:rsidRPr="00A07AA1">
        <w:rPr>
          <w:sz w:val="28"/>
          <w:szCs w:val="28"/>
        </w:rPr>
        <w:t xml:space="preserve">. </w:t>
      </w:r>
    </w:p>
    <w:p w:rsidR="00A07AA1" w:rsidRDefault="00A07AA1" w:rsidP="009B466A">
      <w:pPr>
        <w:spacing w:line="360" w:lineRule="auto"/>
        <w:rPr>
          <w:sz w:val="28"/>
          <w:szCs w:val="28"/>
        </w:rPr>
      </w:pPr>
      <w:r w:rsidRPr="00A07AA1">
        <w:rPr>
          <w:sz w:val="28"/>
          <w:szCs w:val="28"/>
        </w:rPr>
        <w:t xml:space="preserve">The “duty of care” requires that directors make decisions with due deliberation. </w:t>
      </w:r>
    </w:p>
    <w:p w:rsidR="00A07AA1" w:rsidRDefault="00A07AA1" w:rsidP="009B466A">
      <w:pPr>
        <w:spacing w:line="360" w:lineRule="auto"/>
        <w:rPr>
          <w:sz w:val="28"/>
          <w:szCs w:val="28"/>
        </w:rPr>
      </w:pPr>
      <w:r w:rsidRPr="00A07AA1">
        <w:rPr>
          <w:sz w:val="28"/>
          <w:szCs w:val="28"/>
        </w:rPr>
        <w:t>The “duty of loyalty” requires that directors act “in t</w:t>
      </w:r>
      <w:r>
        <w:rPr>
          <w:sz w:val="28"/>
          <w:szCs w:val="28"/>
        </w:rPr>
        <w:t>he interest of the corporation”.</w:t>
      </w:r>
      <w:r w:rsidRPr="00A07AA1">
        <w:rPr>
          <w:sz w:val="28"/>
          <w:szCs w:val="28"/>
        </w:rPr>
        <w:t xml:space="preserve"> </w:t>
      </w:r>
    </w:p>
    <w:p w:rsidR="00A07AA1" w:rsidRDefault="00A07AA1" w:rsidP="009B466A">
      <w:pPr>
        <w:spacing w:line="360" w:lineRule="auto"/>
        <w:rPr>
          <w:sz w:val="28"/>
          <w:szCs w:val="28"/>
        </w:rPr>
      </w:pPr>
      <w:r w:rsidRPr="00A07AA1">
        <w:rPr>
          <w:sz w:val="28"/>
          <w:szCs w:val="28"/>
        </w:rPr>
        <w:t xml:space="preserve">The “duty of candor” requires that the board inform shareholders of all information that is important to their evaluation of the company. </w:t>
      </w:r>
    </w:p>
    <w:p w:rsidR="00A07AA1" w:rsidRDefault="00A07AA1" w:rsidP="009B466A">
      <w:pPr>
        <w:spacing w:line="360" w:lineRule="auto"/>
        <w:rPr>
          <w:sz w:val="28"/>
          <w:szCs w:val="28"/>
        </w:rPr>
      </w:pPr>
    </w:p>
    <w:p w:rsidR="001C7A18" w:rsidRDefault="001C7A18" w:rsidP="009B466A">
      <w:pPr>
        <w:spacing w:line="360" w:lineRule="auto"/>
        <w:rPr>
          <w:sz w:val="28"/>
          <w:szCs w:val="28"/>
        </w:rPr>
      </w:pPr>
    </w:p>
    <w:p w:rsidR="00A07AA1" w:rsidRDefault="00A07AA1" w:rsidP="009B466A">
      <w:pPr>
        <w:spacing w:line="360" w:lineRule="auto"/>
        <w:rPr>
          <w:sz w:val="28"/>
          <w:szCs w:val="28"/>
        </w:rPr>
      </w:pPr>
      <w:r w:rsidRPr="00A07AA1">
        <w:rPr>
          <w:sz w:val="28"/>
          <w:szCs w:val="28"/>
        </w:rPr>
        <w:t>Fiduciary duties are enf</w:t>
      </w:r>
      <w:r>
        <w:rPr>
          <w:sz w:val="28"/>
          <w:szCs w:val="28"/>
        </w:rPr>
        <w:t>orced by judicial intervention:</w:t>
      </w:r>
    </w:p>
    <w:p w:rsidR="00A07AA1" w:rsidRDefault="00A07AA1" w:rsidP="009B466A">
      <w:pPr>
        <w:spacing w:line="360" w:lineRule="auto"/>
        <w:rPr>
          <w:sz w:val="28"/>
          <w:szCs w:val="28"/>
        </w:rPr>
      </w:pPr>
      <w:r w:rsidRPr="00A07AA1">
        <w:rPr>
          <w:sz w:val="28"/>
          <w:szCs w:val="28"/>
        </w:rPr>
        <w:t xml:space="preserve"> Injunction: court order that the boards refrain from a specific action. </w:t>
      </w:r>
    </w:p>
    <w:p w:rsidR="00A07AA1" w:rsidRDefault="00A07AA1" w:rsidP="009B466A">
      <w:pPr>
        <w:spacing w:line="360" w:lineRule="auto"/>
        <w:rPr>
          <w:sz w:val="28"/>
          <w:szCs w:val="28"/>
        </w:rPr>
      </w:pPr>
      <w:r w:rsidRPr="00A07AA1">
        <w:rPr>
          <w:sz w:val="28"/>
          <w:szCs w:val="28"/>
        </w:rPr>
        <w:t xml:space="preserve">Damages: requirement that the board pay for losses sustained. </w:t>
      </w:r>
    </w:p>
    <w:p w:rsidR="00A07AA1" w:rsidRDefault="00A07AA1" w:rsidP="009B466A">
      <w:pPr>
        <w:spacing w:line="360" w:lineRule="auto"/>
        <w:rPr>
          <w:sz w:val="28"/>
          <w:szCs w:val="28"/>
        </w:rPr>
      </w:pPr>
      <w:r w:rsidRPr="00A07AA1">
        <w:rPr>
          <w:sz w:val="28"/>
          <w:szCs w:val="28"/>
        </w:rPr>
        <w:t xml:space="preserve">Under the “business judgment rule,” the court will not second-guess a board’s decision if: </w:t>
      </w:r>
    </w:p>
    <w:p w:rsidR="00A07AA1" w:rsidRDefault="00A07AA1" w:rsidP="009B466A">
      <w:pPr>
        <w:spacing w:line="360" w:lineRule="auto"/>
        <w:rPr>
          <w:sz w:val="28"/>
          <w:szCs w:val="28"/>
        </w:rPr>
      </w:pPr>
      <w:r w:rsidRPr="00A07AA1">
        <w:rPr>
          <w:sz w:val="28"/>
          <w:szCs w:val="28"/>
        </w:rPr>
        <w:t xml:space="preserve">1. </w:t>
      </w:r>
      <w:r>
        <w:rPr>
          <w:sz w:val="28"/>
          <w:szCs w:val="28"/>
        </w:rPr>
        <w:t xml:space="preserve"> </w:t>
      </w:r>
      <w:r w:rsidRPr="00A07AA1">
        <w:rPr>
          <w:sz w:val="28"/>
          <w:szCs w:val="28"/>
        </w:rPr>
        <w:t xml:space="preserve">The board followed reasonable process. </w:t>
      </w:r>
      <w:r w:rsidR="00AA578E">
        <w:rPr>
          <w:sz w:val="28"/>
          <w:szCs w:val="28"/>
        </w:rPr>
        <w:t xml:space="preserve">This is why conducting a Retiree Drug Subsidy Reopening is considered reasonable by the RDS Services Center. </w:t>
      </w:r>
    </w:p>
    <w:p w:rsidR="00A07AA1" w:rsidRDefault="00A07AA1" w:rsidP="009B466A">
      <w:pPr>
        <w:spacing w:line="360" w:lineRule="auto"/>
        <w:rPr>
          <w:sz w:val="28"/>
          <w:szCs w:val="28"/>
        </w:rPr>
      </w:pPr>
      <w:r w:rsidRPr="00A07AA1">
        <w:rPr>
          <w:sz w:val="28"/>
          <w:szCs w:val="28"/>
        </w:rPr>
        <w:t xml:space="preserve">2. The board took into account key relevant facts. </w:t>
      </w:r>
      <w:r w:rsidR="00AA578E">
        <w:rPr>
          <w:sz w:val="28"/>
          <w:szCs w:val="28"/>
        </w:rPr>
        <w:t>The facts are clear and the potential for a significant recovery of subsidy dollars exists in your plan.</w:t>
      </w:r>
    </w:p>
    <w:p w:rsidR="00A07AA1" w:rsidRDefault="00A07AA1" w:rsidP="009B466A">
      <w:pPr>
        <w:spacing w:line="360" w:lineRule="auto"/>
        <w:rPr>
          <w:sz w:val="28"/>
          <w:szCs w:val="28"/>
        </w:rPr>
      </w:pPr>
      <w:r w:rsidRPr="00A07AA1">
        <w:rPr>
          <w:sz w:val="28"/>
          <w:szCs w:val="28"/>
        </w:rPr>
        <w:t>3. The board made</w:t>
      </w:r>
      <w:r w:rsidR="00AA578E">
        <w:rPr>
          <w:sz w:val="28"/>
          <w:szCs w:val="28"/>
        </w:rPr>
        <w:t xml:space="preserve"> the decision “in good faith.” </w:t>
      </w:r>
      <w:r w:rsidRPr="00A07AA1">
        <w:rPr>
          <w:sz w:val="28"/>
          <w:szCs w:val="28"/>
        </w:rPr>
        <w:t xml:space="preserve"> “Good faith” requires that the board act without conflicts of interest and not turn a blind eye to issues for which it is responsible. </w:t>
      </w:r>
      <w:r w:rsidR="00AA578E">
        <w:rPr>
          <w:sz w:val="28"/>
          <w:szCs w:val="28"/>
        </w:rPr>
        <w:t>Choosing to not recover the additional subsidy dollars could be considered a serious breach of “Good faith”.</w:t>
      </w:r>
    </w:p>
    <w:p w:rsidR="00AA578E" w:rsidRPr="00AA578E" w:rsidRDefault="00A07AA1" w:rsidP="009B466A">
      <w:pPr>
        <w:spacing w:line="360" w:lineRule="auto"/>
        <w:rPr>
          <w:b/>
          <w:sz w:val="28"/>
          <w:szCs w:val="28"/>
          <w:u w:val="single"/>
        </w:rPr>
      </w:pPr>
      <w:r w:rsidRPr="00AA578E">
        <w:rPr>
          <w:b/>
          <w:sz w:val="28"/>
          <w:szCs w:val="28"/>
        </w:rPr>
        <w:t xml:space="preserve">Under federal securities laws, directors have a legal obligation to disclose information to the public. Disclosure requirements are established by the Securities and Exchange Commission. </w:t>
      </w:r>
      <w:r w:rsidRPr="00AA578E">
        <w:rPr>
          <w:b/>
          <w:sz w:val="28"/>
          <w:szCs w:val="28"/>
          <w:u w:val="single"/>
        </w:rPr>
        <w:t xml:space="preserve">In general, the company is required to disclose all “material information” – information that an investor would consider important in the evaluation of an investment decision. </w:t>
      </w:r>
      <w:r w:rsidR="00AA578E" w:rsidRPr="00AA578E">
        <w:rPr>
          <w:b/>
          <w:sz w:val="28"/>
          <w:szCs w:val="28"/>
          <w:u w:val="single"/>
        </w:rPr>
        <w:t xml:space="preserve">The choice of a Board of Directors to forgo potentially millions of dollars of subsidy will have a direct and material effect on investor returns and share value. This is the heart of the matter and why a reopening should be conducted. </w:t>
      </w:r>
    </w:p>
    <w:p w:rsidR="00AA578E" w:rsidRDefault="00AA578E" w:rsidP="009B466A">
      <w:pPr>
        <w:spacing w:line="360" w:lineRule="auto"/>
        <w:rPr>
          <w:sz w:val="28"/>
          <w:szCs w:val="28"/>
        </w:rPr>
      </w:pPr>
    </w:p>
    <w:p w:rsidR="00A07AA1" w:rsidRDefault="00A07AA1" w:rsidP="009B466A">
      <w:pPr>
        <w:spacing w:line="360" w:lineRule="auto"/>
        <w:rPr>
          <w:sz w:val="28"/>
          <w:szCs w:val="28"/>
        </w:rPr>
      </w:pPr>
      <w:r w:rsidRPr="00A07AA1">
        <w:rPr>
          <w:sz w:val="28"/>
          <w:szCs w:val="28"/>
        </w:rPr>
        <w:t xml:space="preserve">The board relies on external and internal auditors to ensure that material information is adequately disclosed. Securities laws are enforced through private lawsuits and SEC actions.  Private lawsuits are led by investors who claim to have been harmed by a violation. In order to be found in violation of securities law, the court must find that a disclosure to the public contained a material misstatement or the omission of material information, and that the misstatement or omission was the cause of </w:t>
      </w:r>
      <w:r>
        <w:rPr>
          <w:sz w:val="28"/>
          <w:szCs w:val="28"/>
        </w:rPr>
        <w:t xml:space="preserve">loss. </w:t>
      </w:r>
      <w:r w:rsidRPr="00A07AA1">
        <w:rPr>
          <w:sz w:val="28"/>
          <w:szCs w:val="28"/>
        </w:rPr>
        <w:t>A director cannot be held liable unless the misstatement or omission was intentional or the result of recklessness.</w:t>
      </w:r>
      <w:r w:rsidR="001C7A18">
        <w:rPr>
          <w:sz w:val="28"/>
          <w:szCs w:val="28"/>
        </w:rPr>
        <w:t xml:space="preserve"> In the case of the Retiree Drug Subsidy Re-opening, the act of not attempting to recover the known additional subsidy dollars would be well within the definition of an intentional act. </w:t>
      </w:r>
    </w:p>
    <w:p w:rsidR="00A07AA1" w:rsidRDefault="00A07AA1" w:rsidP="009B466A">
      <w:pPr>
        <w:spacing w:line="360" w:lineRule="auto"/>
        <w:rPr>
          <w:sz w:val="28"/>
          <w:szCs w:val="28"/>
        </w:rPr>
      </w:pPr>
      <w:r w:rsidRPr="00A07AA1">
        <w:rPr>
          <w:sz w:val="28"/>
          <w:szCs w:val="28"/>
        </w:rPr>
        <w:t xml:space="preserve">Director liability is reduced by three mechanisms: </w:t>
      </w:r>
    </w:p>
    <w:p w:rsidR="00A07AA1" w:rsidRDefault="00A07AA1" w:rsidP="009B466A">
      <w:pPr>
        <w:spacing w:line="360" w:lineRule="auto"/>
        <w:rPr>
          <w:sz w:val="28"/>
          <w:szCs w:val="28"/>
        </w:rPr>
      </w:pPr>
      <w:r w:rsidRPr="00A07AA1">
        <w:rPr>
          <w:sz w:val="28"/>
          <w:szCs w:val="28"/>
        </w:rPr>
        <w:t xml:space="preserve">1. Exculpatory provision: company charter excuses director from liability for unintentional negligent acts. </w:t>
      </w:r>
      <w:r w:rsidR="008E323F">
        <w:rPr>
          <w:sz w:val="28"/>
          <w:szCs w:val="28"/>
        </w:rPr>
        <w:t xml:space="preserve">However, not conducting a reopening when the Board has been informed is intentional. </w:t>
      </w:r>
    </w:p>
    <w:p w:rsidR="00A07AA1" w:rsidRDefault="00A07AA1" w:rsidP="009B466A">
      <w:pPr>
        <w:spacing w:line="360" w:lineRule="auto"/>
        <w:rPr>
          <w:sz w:val="28"/>
          <w:szCs w:val="28"/>
        </w:rPr>
      </w:pPr>
      <w:r w:rsidRPr="00A07AA1">
        <w:rPr>
          <w:sz w:val="28"/>
          <w:szCs w:val="28"/>
        </w:rPr>
        <w:t xml:space="preserve">2. Indemnification: agreement that company will pay for costs associated with lawsuits (if director acted “in good faith”). </w:t>
      </w:r>
    </w:p>
    <w:p w:rsidR="008E323F" w:rsidRDefault="00A07AA1" w:rsidP="009B466A">
      <w:pPr>
        <w:spacing w:line="360" w:lineRule="auto"/>
        <w:rPr>
          <w:sz w:val="28"/>
          <w:szCs w:val="28"/>
        </w:rPr>
      </w:pPr>
      <w:r w:rsidRPr="00A07AA1">
        <w:rPr>
          <w:sz w:val="28"/>
          <w:szCs w:val="28"/>
        </w:rPr>
        <w:t xml:space="preserve">3. Director and officers insurance (D&amp;O): insurance contract that covers litigation expenses, settlement payments, and in some cases damages. </w:t>
      </w:r>
    </w:p>
    <w:p w:rsidR="001C7A18" w:rsidRDefault="001C7A18" w:rsidP="009B466A">
      <w:pPr>
        <w:spacing w:line="360" w:lineRule="auto"/>
        <w:rPr>
          <w:rFonts w:ascii="Calibri" w:hAnsi="Calibri" w:cs="Calibri"/>
          <w:b/>
          <w:sz w:val="28"/>
          <w:szCs w:val="28"/>
        </w:rPr>
      </w:pPr>
    </w:p>
    <w:p w:rsidR="001C7A18" w:rsidRDefault="001C7A18" w:rsidP="009B466A">
      <w:pPr>
        <w:spacing w:line="360" w:lineRule="auto"/>
        <w:rPr>
          <w:rFonts w:ascii="Calibri" w:hAnsi="Calibri" w:cs="Calibri"/>
          <w:b/>
          <w:sz w:val="28"/>
          <w:szCs w:val="28"/>
        </w:rPr>
      </w:pPr>
    </w:p>
    <w:p w:rsidR="001C7A18" w:rsidRDefault="001C7A18" w:rsidP="009B466A">
      <w:pPr>
        <w:spacing w:line="360" w:lineRule="auto"/>
        <w:rPr>
          <w:rFonts w:ascii="Calibri" w:hAnsi="Calibri" w:cs="Calibri"/>
          <w:b/>
          <w:sz w:val="28"/>
          <w:szCs w:val="28"/>
        </w:rPr>
      </w:pPr>
    </w:p>
    <w:p w:rsidR="001C7A18" w:rsidRDefault="001C7A18" w:rsidP="009B466A">
      <w:pPr>
        <w:spacing w:line="360" w:lineRule="auto"/>
        <w:rPr>
          <w:rFonts w:ascii="Calibri" w:hAnsi="Calibri" w:cs="Calibri"/>
          <w:b/>
          <w:sz w:val="28"/>
          <w:szCs w:val="28"/>
        </w:rPr>
      </w:pPr>
    </w:p>
    <w:p w:rsidR="007801DF" w:rsidRPr="008E323F" w:rsidRDefault="00AB0DDC" w:rsidP="009B466A">
      <w:pPr>
        <w:spacing w:line="360" w:lineRule="auto"/>
        <w:rPr>
          <w:rFonts w:ascii="Calibri" w:hAnsi="Calibri" w:cs="Calibri"/>
          <w:b/>
          <w:sz w:val="28"/>
          <w:szCs w:val="28"/>
        </w:rPr>
      </w:pPr>
      <w:r w:rsidRPr="008E323F">
        <w:rPr>
          <w:rFonts w:ascii="Calibri" w:hAnsi="Calibri" w:cs="Calibri"/>
          <w:b/>
          <w:sz w:val="28"/>
          <w:szCs w:val="28"/>
        </w:rPr>
        <w:t xml:space="preserve">Therefore, based upon these guidelines issued by the </w:t>
      </w:r>
      <w:r w:rsidR="00742BF5">
        <w:rPr>
          <w:rFonts w:ascii="Calibri" w:hAnsi="Calibri" w:cs="Calibri"/>
          <w:b/>
          <w:sz w:val="28"/>
          <w:szCs w:val="28"/>
        </w:rPr>
        <w:t xml:space="preserve">Corporate </w:t>
      </w:r>
      <w:proofErr w:type="spellStart"/>
      <w:r w:rsidR="00742BF5">
        <w:rPr>
          <w:rFonts w:ascii="Calibri" w:hAnsi="Calibri" w:cs="Calibri"/>
          <w:b/>
          <w:sz w:val="28"/>
          <w:szCs w:val="28"/>
        </w:rPr>
        <w:t>Goverance</w:t>
      </w:r>
      <w:proofErr w:type="spellEnd"/>
      <w:r w:rsidR="00742BF5">
        <w:rPr>
          <w:rFonts w:ascii="Calibri" w:hAnsi="Calibri" w:cs="Calibri"/>
          <w:b/>
          <w:sz w:val="28"/>
          <w:szCs w:val="28"/>
        </w:rPr>
        <w:t xml:space="preserve"> Research Institute </w:t>
      </w:r>
      <w:r w:rsidRPr="008E323F">
        <w:rPr>
          <w:rFonts w:ascii="Calibri" w:hAnsi="Calibri" w:cs="Calibri"/>
          <w:b/>
          <w:sz w:val="28"/>
          <w:szCs w:val="28"/>
        </w:rPr>
        <w:t xml:space="preserve">, a reconsideration of your position to not attempt to recover the potential additional funds from the Retiree Drug Subsidy program may not be the most prudent course of action in relation to the operation of the plan. </w:t>
      </w:r>
    </w:p>
    <w:p w:rsidR="00AB0DDC" w:rsidRPr="00AB0DDC" w:rsidRDefault="009B466A" w:rsidP="009B466A">
      <w:pPr>
        <w:spacing w:line="360" w:lineRule="auto"/>
        <w:rPr>
          <w:rFonts w:ascii="Calibri" w:hAnsi="Calibri" w:cs="Calibri"/>
          <w:sz w:val="28"/>
          <w:szCs w:val="28"/>
        </w:rPr>
      </w:pPr>
      <w:r>
        <w:rPr>
          <w:rFonts w:ascii="Calibri" w:hAnsi="Calibri" w:cs="Calibri"/>
          <w:sz w:val="28"/>
          <w:szCs w:val="28"/>
        </w:rPr>
        <w:t xml:space="preserve">I hope this information proves informative and </w:t>
      </w:r>
      <w:r w:rsidR="00AB0DDC" w:rsidRPr="00AB0DDC">
        <w:rPr>
          <w:rFonts w:ascii="Calibri" w:hAnsi="Calibri" w:cs="Calibri"/>
          <w:sz w:val="28"/>
          <w:szCs w:val="28"/>
        </w:rPr>
        <w:t xml:space="preserve">I look forward to hearing from your organization on how </w:t>
      </w:r>
      <w:r w:rsidR="008738A1">
        <w:rPr>
          <w:rFonts w:ascii="Calibri" w:hAnsi="Calibri" w:cs="Calibri"/>
          <w:sz w:val="28"/>
          <w:szCs w:val="28"/>
        </w:rPr>
        <w:t>you wish t</w:t>
      </w:r>
      <w:r w:rsidR="00AB0DDC" w:rsidRPr="00AB0DDC">
        <w:rPr>
          <w:rFonts w:ascii="Calibri" w:hAnsi="Calibri" w:cs="Calibri"/>
          <w:sz w:val="28"/>
          <w:szCs w:val="28"/>
        </w:rPr>
        <w:t>o proceed with the recovery of the additional subsidy funding. You can reach me directly at 516 361 9404.</w:t>
      </w:r>
    </w:p>
    <w:p w:rsidR="004A57D2" w:rsidRPr="00AB0DDC" w:rsidRDefault="004A57D2" w:rsidP="004A57D2">
      <w:pPr>
        <w:spacing w:after="0"/>
        <w:rPr>
          <w:rFonts w:ascii="Calibri" w:hAnsi="Calibri" w:cs="Calibri"/>
          <w:sz w:val="28"/>
          <w:szCs w:val="28"/>
        </w:rPr>
      </w:pPr>
      <w:r w:rsidRPr="00AB0DDC">
        <w:rPr>
          <w:rFonts w:ascii="Calibri" w:hAnsi="Calibri" w:cs="Calibri"/>
          <w:sz w:val="28"/>
          <w:szCs w:val="28"/>
        </w:rPr>
        <w:t xml:space="preserve">Sincerely, </w:t>
      </w:r>
    </w:p>
    <w:p w:rsidR="004A57D2" w:rsidRPr="00AB0DDC" w:rsidRDefault="004A57D2" w:rsidP="004A57D2">
      <w:pPr>
        <w:spacing w:after="0"/>
        <w:rPr>
          <w:rFonts w:ascii="Calibri" w:hAnsi="Calibri" w:cs="Calibri"/>
          <w:sz w:val="28"/>
          <w:szCs w:val="28"/>
        </w:rPr>
      </w:pPr>
    </w:p>
    <w:p w:rsidR="005C0FD9" w:rsidRPr="00AB0DDC" w:rsidRDefault="004A57D2" w:rsidP="004A57D2">
      <w:pPr>
        <w:spacing w:after="0"/>
        <w:rPr>
          <w:rFonts w:ascii="Calibri" w:hAnsi="Calibri" w:cs="Calibri"/>
          <w:sz w:val="28"/>
          <w:szCs w:val="28"/>
        </w:rPr>
      </w:pPr>
      <w:r w:rsidRPr="00AB0DDC">
        <w:rPr>
          <w:rFonts w:ascii="Calibri" w:hAnsi="Calibri" w:cs="Calibri"/>
          <w:sz w:val="28"/>
          <w:szCs w:val="28"/>
        </w:rPr>
        <w:t>George Fox, LUTCF</w:t>
      </w:r>
    </w:p>
    <w:p w:rsidR="004A57D2" w:rsidRPr="00AB0DDC" w:rsidRDefault="004A57D2" w:rsidP="004A57D2">
      <w:pPr>
        <w:spacing w:after="0"/>
        <w:rPr>
          <w:rFonts w:ascii="Calibri" w:hAnsi="Calibri" w:cs="Calibri"/>
          <w:sz w:val="28"/>
          <w:szCs w:val="28"/>
        </w:rPr>
      </w:pPr>
      <w:r w:rsidRPr="00AB0DDC">
        <w:rPr>
          <w:rFonts w:ascii="Calibri" w:hAnsi="Calibri" w:cs="Calibri"/>
          <w:sz w:val="28"/>
          <w:szCs w:val="28"/>
        </w:rPr>
        <w:t xml:space="preserve">National Sales Manager </w:t>
      </w:r>
    </w:p>
    <w:p w:rsidR="004A57D2" w:rsidRPr="00AB0DDC" w:rsidRDefault="004A57D2" w:rsidP="004A57D2">
      <w:pPr>
        <w:spacing w:after="0"/>
        <w:rPr>
          <w:rFonts w:ascii="Calibri" w:hAnsi="Calibri" w:cs="Calibri"/>
          <w:sz w:val="28"/>
          <w:szCs w:val="28"/>
        </w:rPr>
      </w:pPr>
      <w:r w:rsidRPr="00AB0DDC">
        <w:rPr>
          <w:rFonts w:ascii="Calibri" w:hAnsi="Calibri" w:cs="Calibri"/>
          <w:sz w:val="28"/>
          <w:szCs w:val="28"/>
        </w:rPr>
        <w:t>RDS Services, LLC</w:t>
      </w:r>
    </w:p>
    <w:p w:rsidR="004A57D2" w:rsidRDefault="004A57D2" w:rsidP="004A57D2">
      <w:pPr>
        <w:spacing w:after="0"/>
      </w:pPr>
    </w:p>
    <w:sectPr w:rsidR="004A57D2" w:rsidSect="00EE4200">
      <w:headerReference w:type="even" r:id="rId8"/>
      <w:headerReference w:type="default" r:id="rId9"/>
      <w:footerReference w:type="default" r:id="rId10"/>
      <w:headerReference w:type="first" r:id="rId11"/>
      <w:pgSz w:w="12240" w:h="15840"/>
      <w:pgMar w:top="1440" w:right="1440" w:bottom="1440" w:left="1440"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F2B" w:rsidRDefault="00EF4F2B" w:rsidP="00517AF9">
      <w:pPr>
        <w:spacing w:after="0" w:line="240" w:lineRule="auto"/>
      </w:pPr>
      <w:r>
        <w:separator/>
      </w:r>
    </w:p>
  </w:endnote>
  <w:endnote w:type="continuationSeparator" w:id="0">
    <w:p w:rsidR="00EF4F2B" w:rsidRDefault="00EF4F2B" w:rsidP="00517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Neue Extended">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062C4C" w:rsidP="008958A3">
    <w:pPr>
      <w:pStyle w:val="Footer"/>
      <w:pBdr>
        <w:top w:val="thinThickSmallGap" w:sz="24" w:space="1" w:color="622423" w:themeColor="accent2" w:themeShade="7F"/>
      </w:pBdr>
      <w:jc w:val="center"/>
    </w:pPr>
    <w:r w:rsidRPr="008958A3">
      <w:rPr>
        <w:rFonts w:ascii="Palatino Linotype" w:hAnsi="Palatino Linotype" w:cs="Palatino Linotype"/>
        <w:color w:val="58585A"/>
        <w:sz w:val="28"/>
        <w:szCs w:val="28"/>
      </w:rPr>
      <w:t>50 W. Big Beaver, Suite 220 | Troy, MI 48084</w:t>
    </w:r>
    <w:r>
      <w:rPr>
        <w:rFonts w:ascii="Palatino Linotype" w:hAnsi="Palatino Linotype" w:cs="Palatino Linotype"/>
        <w:color w:val="58585A"/>
        <w:sz w:val="28"/>
        <w:szCs w:val="28"/>
      </w:rPr>
      <w:t xml:space="preserve">        </w:t>
    </w:r>
    <w:r w:rsidRPr="008958A3">
      <w:rPr>
        <w:rFonts w:asciiTheme="majorHAnsi" w:hAnsiTheme="majorHAnsi"/>
        <w:sz w:val="28"/>
        <w:szCs w:val="28"/>
      </w:rPr>
      <w:t>Page</w:t>
    </w:r>
    <w:r>
      <w:rPr>
        <w:rFonts w:asciiTheme="majorHAnsi" w:hAnsiTheme="majorHAnsi"/>
      </w:rPr>
      <w:t xml:space="preserve"> </w:t>
    </w:r>
    <w:fldSimple w:instr=" PAGE   \* MERGEFORMAT ">
      <w:r w:rsidR="00742BF5" w:rsidRPr="00742BF5">
        <w:rPr>
          <w:rFonts w:asciiTheme="majorHAnsi" w:hAnsiTheme="majorHAnsi"/>
          <w:noProof/>
        </w:rPr>
        <w:t>5</w:t>
      </w:r>
    </w:fldSimple>
  </w:p>
  <w:p w:rsidR="00062C4C" w:rsidRPr="008958A3" w:rsidRDefault="00062C4C" w:rsidP="008958A3">
    <w:pPr>
      <w:pStyle w:val="Footer"/>
      <w:pBdr>
        <w:top w:val="thinThickSmallGap" w:sz="24" w:space="1" w:color="622423" w:themeColor="accent2" w:themeShade="7F"/>
      </w:pBdr>
      <w:jc w:val="center"/>
      <w:rPr>
        <w:b/>
      </w:rPr>
    </w:pPr>
    <w:r>
      <w:rPr>
        <w:rFonts w:ascii="Palatino Linotype" w:hAnsi="Palatino Linotype" w:cs="Palatino Linotype"/>
        <w:b/>
        <w:color w:val="58585A"/>
        <w:sz w:val="28"/>
        <w:szCs w:val="28"/>
      </w:rPr>
      <w:t>Cell</w:t>
    </w:r>
    <w:r w:rsidRPr="008958A3">
      <w:rPr>
        <w:rFonts w:ascii="Palatino Linotype" w:hAnsi="Palatino Linotype" w:cs="Palatino Linotype"/>
        <w:b/>
        <w:color w:val="58585A"/>
        <w:sz w:val="28"/>
        <w:szCs w:val="28"/>
      </w:rPr>
      <w:t xml:space="preserve">: 516.361.9404   </w:t>
    </w:r>
    <w:r>
      <w:rPr>
        <w:rFonts w:ascii="Palatino Linotype" w:hAnsi="Palatino Linotype" w:cs="Palatino Linotype"/>
        <w:b/>
        <w:color w:val="58585A"/>
        <w:sz w:val="28"/>
        <w:szCs w:val="28"/>
      </w:rPr>
      <w:t>Office</w:t>
    </w:r>
    <w:r w:rsidRPr="008958A3">
      <w:rPr>
        <w:rFonts w:ascii="Palatino Linotype" w:hAnsi="Palatino Linotype" w:cs="Palatino Linotype"/>
        <w:b/>
        <w:color w:val="58585A"/>
        <w:sz w:val="28"/>
        <w:szCs w:val="28"/>
      </w:rPr>
      <w:t xml:space="preserve">: 248.878.2140        </w:t>
    </w:r>
    <w:r>
      <w:rPr>
        <w:rFonts w:ascii="Palatino Linotype" w:hAnsi="Palatino Linotype" w:cs="Palatino Linotype"/>
        <w:b/>
        <w:color w:val="58585A"/>
        <w:sz w:val="28"/>
        <w:szCs w:val="28"/>
      </w:rPr>
      <w:t>email: gfox@rdsservices.us</w:t>
    </w:r>
  </w:p>
  <w:p w:rsidR="00062C4C" w:rsidRPr="008958A3" w:rsidRDefault="00062C4C" w:rsidP="008958A3">
    <w:pPr>
      <w:pStyle w:val="Footer"/>
      <w:jc w:val="center"/>
      <w:rPr>
        <w:b/>
        <w:sz w:val="32"/>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F2B" w:rsidRDefault="00EF4F2B" w:rsidP="00517AF9">
      <w:pPr>
        <w:spacing w:after="0" w:line="240" w:lineRule="auto"/>
      </w:pPr>
      <w:r>
        <w:separator/>
      </w:r>
    </w:p>
  </w:footnote>
  <w:footnote w:type="continuationSeparator" w:id="0">
    <w:p w:rsidR="00EF4F2B" w:rsidRDefault="00EF4F2B" w:rsidP="00517A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C62C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6" o:spid="_x0000_s2062" type="#_x0000_t75" style="position:absolute;margin-left:0;margin-top:0;width:612pt;height:11in;z-index:-251657216;mso-position-horizontal:center;mso-position-horizontal-relative:margin;mso-position-vertical:center;mso-position-vertical-relative:margin" o:allowincell="f">
          <v:imagedata r:id="rId1" o:title="RDS Letterhead 2 fina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Pr="008958A3" w:rsidRDefault="00C62C1C" w:rsidP="00B95A81">
    <w:pPr>
      <w:pStyle w:val="BasicParagraph"/>
      <w:spacing w:before="100" w:beforeAutospacing="1" w:after="100" w:afterAutospacing="1" w:line="228" w:lineRule="auto"/>
      <w:ind w:right="-720"/>
      <w:jc w:val="right"/>
      <w:rPr>
        <w:sz w:val="40"/>
        <w:szCs w:val="40"/>
      </w:rPr>
    </w:pPr>
    <w:r w:rsidRPr="00C62C1C">
      <w:rPr>
        <w:rFonts w:ascii="Palatino Linotype" w:hAnsi="Palatino Linotype" w:cs="Palatino Linotype"/>
        <w:noProof/>
        <w:color w:val="58585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7" o:spid="_x0000_s2063" type="#_x0000_t75" style="position:absolute;left:0;text-align:left;margin-left:-1in;margin-top:-72.85pt;width:612pt;height:792.85pt;z-index:-251656192;mso-position-horizontal-relative:margin;mso-position-vertical-relative:margin" o:allowincell="f">
          <v:imagedata r:id="rId1" o:title="RDS Letterhead 2 final"/>
          <w10:wrap anchorx="margin" anchory="margin"/>
        </v:shape>
      </w:pict>
    </w:r>
    <w:r w:rsidR="00062C4C" w:rsidRPr="00B95A81">
      <w:rPr>
        <w:rFonts w:ascii="Palatino Linotype" w:hAnsi="Palatino Linotype" w:cs="Palatino Linotype"/>
        <w:color w:val="58585A"/>
        <w:sz w:val="22"/>
        <w:szCs w:val="22"/>
      </w:rPr>
      <w:br/>
    </w:r>
    <w:r w:rsidR="00062C4C" w:rsidRPr="008958A3">
      <w:rPr>
        <w:rFonts w:asciiTheme="minorHAnsi" w:hAnsiTheme="minorHAnsi" w:cs="HelveticaNeue Extended"/>
        <w:b/>
        <w:color w:val="A32326"/>
        <w:sz w:val="40"/>
        <w:szCs w:val="40"/>
      </w:rPr>
      <w:t>www.rdsservices.us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4C" w:rsidRDefault="00C62C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514375" o:spid="_x0000_s2061" type="#_x0000_t75" style="position:absolute;margin-left:0;margin-top:0;width:612pt;height:11in;z-index:-251658240;mso-position-horizontal:center;mso-position-horizontal-relative:margin;mso-position-vertical:center;mso-position-vertical-relative:margin" o:allowincell="f">
          <v:imagedata r:id="rId1" o:title="RDS Letterhead 2 fin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D2896"/>
    <w:multiLevelType w:val="multilevel"/>
    <w:tmpl w:val="86A01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803475"/>
    <w:multiLevelType w:val="multilevel"/>
    <w:tmpl w:val="30D4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42D0C66"/>
    <w:multiLevelType w:val="multilevel"/>
    <w:tmpl w:val="9F2E1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8E4C7A"/>
    <w:multiLevelType w:val="multilevel"/>
    <w:tmpl w:val="6B32F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1C2E54"/>
    <w:multiLevelType w:val="multilevel"/>
    <w:tmpl w:val="0E0EA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drawingGridHorizontalSpacing w:val="110"/>
  <w:displayHorizontalDrawingGridEvery w:val="2"/>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rsids>
    <w:rsidRoot w:val="00517AF9"/>
    <w:rsid w:val="00010855"/>
    <w:rsid w:val="00021248"/>
    <w:rsid w:val="00024E4A"/>
    <w:rsid w:val="0002706B"/>
    <w:rsid w:val="00030EB8"/>
    <w:rsid w:val="00040CA1"/>
    <w:rsid w:val="00053DA7"/>
    <w:rsid w:val="00062C4C"/>
    <w:rsid w:val="000723D1"/>
    <w:rsid w:val="0007789F"/>
    <w:rsid w:val="0008425E"/>
    <w:rsid w:val="00086727"/>
    <w:rsid w:val="00090181"/>
    <w:rsid w:val="000944BC"/>
    <w:rsid w:val="000963BB"/>
    <w:rsid w:val="000A1063"/>
    <w:rsid w:val="000A174E"/>
    <w:rsid w:val="000A3605"/>
    <w:rsid w:val="000A7250"/>
    <w:rsid w:val="000B5E74"/>
    <w:rsid w:val="000C0786"/>
    <w:rsid w:val="000D1F07"/>
    <w:rsid w:val="000D21B1"/>
    <w:rsid w:val="000D3028"/>
    <w:rsid w:val="000E1B4C"/>
    <w:rsid w:val="000E1B6F"/>
    <w:rsid w:val="000E2866"/>
    <w:rsid w:val="000F0BCE"/>
    <w:rsid w:val="00102B2D"/>
    <w:rsid w:val="00104730"/>
    <w:rsid w:val="0010508B"/>
    <w:rsid w:val="00116F56"/>
    <w:rsid w:val="0012051B"/>
    <w:rsid w:val="00121987"/>
    <w:rsid w:val="00121D64"/>
    <w:rsid w:val="00123377"/>
    <w:rsid w:val="00123449"/>
    <w:rsid w:val="001252DE"/>
    <w:rsid w:val="00127819"/>
    <w:rsid w:val="0013045B"/>
    <w:rsid w:val="0013104F"/>
    <w:rsid w:val="001341D8"/>
    <w:rsid w:val="00136965"/>
    <w:rsid w:val="0014229E"/>
    <w:rsid w:val="0014358F"/>
    <w:rsid w:val="00145B6F"/>
    <w:rsid w:val="00146BC4"/>
    <w:rsid w:val="00150FDD"/>
    <w:rsid w:val="001518CB"/>
    <w:rsid w:val="00154F7B"/>
    <w:rsid w:val="00161162"/>
    <w:rsid w:val="00165BBD"/>
    <w:rsid w:val="001701EE"/>
    <w:rsid w:val="00175BF1"/>
    <w:rsid w:val="00176AEA"/>
    <w:rsid w:val="0019165C"/>
    <w:rsid w:val="001924C0"/>
    <w:rsid w:val="00192C7E"/>
    <w:rsid w:val="001945AE"/>
    <w:rsid w:val="001956DF"/>
    <w:rsid w:val="00196593"/>
    <w:rsid w:val="001A2A23"/>
    <w:rsid w:val="001A3ED6"/>
    <w:rsid w:val="001A7445"/>
    <w:rsid w:val="001A74E7"/>
    <w:rsid w:val="001B545A"/>
    <w:rsid w:val="001B79CC"/>
    <w:rsid w:val="001C2760"/>
    <w:rsid w:val="001C5649"/>
    <w:rsid w:val="001C571F"/>
    <w:rsid w:val="001C7A18"/>
    <w:rsid w:val="001D3230"/>
    <w:rsid w:val="001E13BB"/>
    <w:rsid w:val="001E632E"/>
    <w:rsid w:val="001F2F0F"/>
    <w:rsid w:val="001F58CA"/>
    <w:rsid w:val="001F5FA5"/>
    <w:rsid w:val="00200660"/>
    <w:rsid w:val="0020093E"/>
    <w:rsid w:val="00204C11"/>
    <w:rsid w:val="0020675D"/>
    <w:rsid w:val="00211565"/>
    <w:rsid w:val="00213DCA"/>
    <w:rsid w:val="00213E21"/>
    <w:rsid w:val="00213F76"/>
    <w:rsid w:val="00214686"/>
    <w:rsid w:val="0022280A"/>
    <w:rsid w:val="00223F47"/>
    <w:rsid w:val="00224427"/>
    <w:rsid w:val="00225587"/>
    <w:rsid w:val="00225795"/>
    <w:rsid w:val="00230CA5"/>
    <w:rsid w:val="002322C1"/>
    <w:rsid w:val="002330EC"/>
    <w:rsid w:val="0023484B"/>
    <w:rsid w:val="00240DF0"/>
    <w:rsid w:val="002411FA"/>
    <w:rsid w:val="002419B1"/>
    <w:rsid w:val="002420E0"/>
    <w:rsid w:val="00242AD9"/>
    <w:rsid w:val="0025528B"/>
    <w:rsid w:val="00256A81"/>
    <w:rsid w:val="002638A5"/>
    <w:rsid w:val="00263B1B"/>
    <w:rsid w:val="0026574E"/>
    <w:rsid w:val="00265FBA"/>
    <w:rsid w:val="002702F3"/>
    <w:rsid w:val="00270E63"/>
    <w:rsid w:val="00271569"/>
    <w:rsid w:val="0027205C"/>
    <w:rsid w:val="00277DCD"/>
    <w:rsid w:val="00292091"/>
    <w:rsid w:val="002932D5"/>
    <w:rsid w:val="002A0120"/>
    <w:rsid w:val="002A2066"/>
    <w:rsid w:val="002A451E"/>
    <w:rsid w:val="002A5771"/>
    <w:rsid w:val="002B26AB"/>
    <w:rsid w:val="002B4EB6"/>
    <w:rsid w:val="002C2024"/>
    <w:rsid w:val="002C4D4B"/>
    <w:rsid w:val="002C7FBE"/>
    <w:rsid w:val="002D0EE2"/>
    <w:rsid w:val="002D2FBC"/>
    <w:rsid w:val="002D42D8"/>
    <w:rsid w:val="002D7395"/>
    <w:rsid w:val="002E4647"/>
    <w:rsid w:val="002E4A7E"/>
    <w:rsid w:val="002E4D5F"/>
    <w:rsid w:val="002F6DD6"/>
    <w:rsid w:val="00307058"/>
    <w:rsid w:val="00312DC4"/>
    <w:rsid w:val="003208B6"/>
    <w:rsid w:val="00321BF0"/>
    <w:rsid w:val="003227E1"/>
    <w:rsid w:val="00323DEF"/>
    <w:rsid w:val="003267C4"/>
    <w:rsid w:val="00326D94"/>
    <w:rsid w:val="00332B45"/>
    <w:rsid w:val="003340D6"/>
    <w:rsid w:val="0034240A"/>
    <w:rsid w:val="00347728"/>
    <w:rsid w:val="00352345"/>
    <w:rsid w:val="00364498"/>
    <w:rsid w:val="0036500C"/>
    <w:rsid w:val="003777BF"/>
    <w:rsid w:val="00386A36"/>
    <w:rsid w:val="00390A35"/>
    <w:rsid w:val="00390DB6"/>
    <w:rsid w:val="00392DBE"/>
    <w:rsid w:val="003935BE"/>
    <w:rsid w:val="00394A1E"/>
    <w:rsid w:val="0039543D"/>
    <w:rsid w:val="003A28B0"/>
    <w:rsid w:val="003A529B"/>
    <w:rsid w:val="003A5595"/>
    <w:rsid w:val="003A676D"/>
    <w:rsid w:val="003B1E2A"/>
    <w:rsid w:val="003B2223"/>
    <w:rsid w:val="003B4716"/>
    <w:rsid w:val="003C29AB"/>
    <w:rsid w:val="003C4071"/>
    <w:rsid w:val="003C5F35"/>
    <w:rsid w:val="003D4ACC"/>
    <w:rsid w:val="003D590C"/>
    <w:rsid w:val="003E2B2D"/>
    <w:rsid w:val="003E67C1"/>
    <w:rsid w:val="003E7DE1"/>
    <w:rsid w:val="003F1459"/>
    <w:rsid w:val="003F363D"/>
    <w:rsid w:val="003F4B14"/>
    <w:rsid w:val="004046FD"/>
    <w:rsid w:val="00411B19"/>
    <w:rsid w:val="00412935"/>
    <w:rsid w:val="00416F46"/>
    <w:rsid w:val="00423A5A"/>
    <w:rsid w:val="00425180"/>
    <w:rsid w:val="00426123"/>
    <w:rsid w:val="00430A3D"/>
    <w:rsid w:val="00431FBE"/>
    <w:rsid w:val="00434C18"/>
    <w:rsid w:val="00437A32"/>
    <w:rsid w:val="00442480"/>
    <w:rsid w:val="00446AB2"/>
    <w:rsid w:val="00451C99"/>
    <w:rsid w:val="00461739"/>
    <w:rsid w:val="00461F72"/>
    <w:rsid w:val="004637D3"/>
    <w:rsid w:val="00466FC5"/>
    <w:rsid w:val="00473982"/>
    <w:rsid w:val="00483C69"/>
    <w:rsid w:val="00492471"/>
    <w:rsid w:val="00492901"/>
    <w:rsid w:val="004973C8"/>
    <w:rsid w:val="004A14F1"/>
    <w:rsid w:val="004A3F01"/>
    <w:rsid w:val="004A57D2"/>
    <w:rsid w:val="004A5E5A"/>
    <w:rsid w:val="004A6A2C"/>
    <w:rsid w:val="004A7EA5"/>
    <w:rsid w:val="004B4FB8"/>
    <w:rsid w:val="004B5D0E"/>
    <w:rsid w:val="004C31BB"/>
    <w:rsid w:val="004D31D3"/>
    <w:rsid w:val="004D3C68"/>
    <w:rsid w:val="004D5706"/>
    <w:rsid w:val="004D7870"/>
    <w:rsid w:val="004E0E11"/>
    <w:rsid w:val="004E1F00"/>
    <w:rsid w:val="004E2BDD"/>
    <w:rsid w:val="004E3659"/>
    <w:rsid w:val="004E5965"/>
    <w:rsid w:val="00502068"/>
    <w:rsid w:val="00506544"/>
    <w:rsid w:val="005147EC"/>
    <w:rsid w:val="00517A2D"/>
    <w:rsid w:val="00517AF9"/>
    <w:rsid w:val="00533E20"/>
    <w:rsid w:val="00534223"/>
    <w:rsid w:val="005352EA"/>
    <w:rsid w:val="00536559"/>
    <w:rsid w:val="0053798A"/>
    <w:rsid w:val="00540088"/>
    <w:rsid w:val="00542C95"/>
    <w:rsid w:val="005607B4"/>
    <w:rsid w:val="00561405"/>
    <w:rsid w:val="00561656"/>
    <w:rsid w:val="0057183E"/>
    <w:rsid w:val="00571B7E"/>
    <w:rsid w:val="00576040"/>
    <w:rsid w:val="00580D4D"/>
    <w:rsid w:val="00581E75"/>
    <w:rsid w:val="00582169"/>
    <w:rsid w:val="00586353"/>
    <w:rsid w:val="005A0380"/>
    <w:rsid w:val="005A3C55"/>
    <w:rsid w:val="005B154A"/>
    <w:rsid w:val="005B2894"/>
    <w:rsid w:val="005B3BFF"/>
    <w:rsid w:val="005C0FD9"/>
    <w:rsid w:val="005C1B72"/>
    <w:rsid w:val="005C4A1E"/>
    <w:rsid w:val="005C702E"/>
    <w:rsid w:val="005E75CE"/>
    <w:rsid w:val="005F12CC"/>
    <w:rsid w:val="005F2160"/>
    <w:rsid w:val="005F3A5C"/>
    <w:rsid w:val="0060135A"/>
    <w:rsid w:val="00601A5A"/>
    <w:rsid w:val="00606FBA"/>
    <w:rsid w:val="00607D34"/>
    <w:rsid w:val="00614819"/>
    <w:rsid w:val="00615A63"/>
    <w:rsid w:val="00616468"/>
    <w:rsid w:val="00617BD4"/>
    <w:rsid w:val="0062143A"/>
    <w:rsid w:val="0062238F"/>
    <w:rsid w:val="00622A37"/>
    <w:rsid w:val="00623079"/>
    <w:rsid w:val="0062438E"/>
    <w:rsid w:val="00630E16"/>
    <w:rsid w:val="006316C6"/>
    <w:rsid w:val="006335CE"/>
    <w:rsid w:val="00636A5F"/>
    <w:rsid w:val="00636FB3"/>
    <w:rsid w:val="006376E2"/>
    <w:rsid w:val="00637A6C"/>
    <w:rsid w:val="00641CD1"/>
    <w:rsid w:val="00650741"/>
    <w:rsid w:val="00650A01"/>
    <w:rsid w:val="00650CDE"/>
    <w:rsid w:val="006543A7"/>
    <w:rsid w:val="006628E7"/>
    <w:rsid w:val="0066599F"/>
    <w:rsid w:val="00672B76"/>
    <w:rsid w:val="00684540"/>
    <w:rsid w:val="00685C23"/>
    <w:rsid w:val="00694C7F"/>
    <w:rsid w:val="006A10B9"/>
    <w:rsid w:val="006A3C48"/>
    <w:rsid w:val="006A5F14"/>
    <w:rsid w:val="006B5A7C"/>
    <w:rsid w:val="006B5ED4"/>
    <w:rsid w:val="006B76A9"/>
    <w:rsid w:val="006C0DA8"/>
    <w:rsid w:val="006C3221"/>
    <w:rsid w:val="006C4475"/>
    <w:rsid w:val="006D2BC4"/>
    <w:rsid w:val="006E5580"/>
    <w:rsid w:val="006E6B55"/>
    <w:rsid w:val="006E6BD1"/>
    <w:rsid w:val="006F19F9"/>
    <w:rsid w:val="006F7399"/>
    <w:rsid w:val="00700C1D"/>
    <w:rsid w:val="00700FC0"/>
    <w:rsid w:val="00704F92"/>
    <w:rsid w:val="007067C6"/>
    <w:rsid w:val="00707EE0"/>
    <w:rsid w:val="007119D2"/>
    <w:rsid w:val="007205D7"/>
    <w:rsid w:val="0072347E"/>
    <w:rsid w:val="00724129"/>
    <w:rsid w:val="007260FA"/>
    <w:rsid w:val="007310D5"/>
    <w:rsid w:val="00734E76"/>
    <w:rsid w:val="007412EE"/>
    <w:rsid w:val="00742BF5"/>
    <w:rsid w:val="0074592B"/>
    <w:rsid w:val="00752A08"/>
    <w:rsid w:val="007531EF"/>
    <w:rsid w:val="00753558"/>
    <w:rsid w:val="00755EA8"/>
    <w:rsid w:val="00760267"/>
    <w:rsid w:val="00762B7D"/>
    <w:rsid w:val="007711CD"/>
    <w:rsid w:val="00777C45"/>
    <w:rsid w:val="0078000A"/>
    <w:rsid w:val="007801DF"/>
    <w:rsid w:val="00780E62"/>
    <w:rsid w:val="00793DE1"/>
    <w:rsid w:val="0079474E"/>
    <w:rsid w:val="007A10FF"/>
    <w:rsid w:val="007A1226"/>
    <w:rsid w:val="007A122D"/>
    <w:rsid w:val="007A29D9"/>
    <w:rsid w:val="007A45D8"/>
    <w:rsid w:val="007A4F12"/>
    <w:rsid w:val="007A5F7E"/>
    <w:rsid w:val="007B1600"/>
    <w:rsid w:val="007B5BEC"/>
    <w:rsid w:val="007B65D9"/>
    <w:rsid w:val="007B7C3C"/>
    <w:rsid w:val="007C210C"/>
    <w:rsid w:val="007C22A0"/>
    <w:rsid w:val="007C26A2"/>
    <w:rsid w:val="007C498B"/>
    <w:rsid w:val="007C4EA1"/>
    <w:rsid w:val="007D1421"/>
    <w:rsid w:val="007D2D20"/>
    <w:rsid w:val="007D7FA9"/>
    <w:rsid w:val="007E191C"/>
    <w:rsid w:val="007E5562"/>
    <w:rsid w:val="007E58CC"/>
    <w:rsid w:val="007E6058"/>
    <w:rsid w:val="007F3E60"/>
    <w:rsid w:val="007F6A24"/>
    <w:rsid w:val="0080025B"/>
    <w:rsid w:val="00801AA1"/>
    <w:rsid w:val="00805A51"/>
    <w:rsid w:val="0080789E"/>
    <w:rsid w:val="00811988"/>
    <w:rsid w:val="00814D2B"/>
    <w:rsid w:val="00816F7C"/>
    <w:rsid w:val="008210C8"/>
    <w:rsid w:val="008273DC"/>
    <w:rsid w:val="00827F0B"/>
    <w:rsid w:val="00831B92"/>
    <w:rsid w:val="008327D1"/>
    <w:rsid w:val="0084139D"/>
    <w:rsid w:val="0084303F"/>
    <w:rsid w:val="00847F7C"/>
    <w:rsid w:val="008514E2"/>
    <w:rsid w:val="00852E9C"/>
    <w:rsid w:val="00853F6A"/>
    <w:rsid w:val="00854112"/>
    <w:rsid w:val="008658EE"/>
    <w:rsid w:val="00870CCA"/>
    <w:rsid w:val="008738A1"/>
    <w:rsid w:val="00873C56"/>
    <w:rsid w:val="00874AEC"/>
    <w:rsid w:val="00882E09"/>
    <w:rsid w:val="00884824"/>
    <w:rsid w:val="00887611"/>
    <w:rsid w:val="008958A3"/>
    <w:rsid w:val="00896C30"/>
    <w:rsid w:val="008A04C5"/>
    <w:rsid w:val="008A4936"/>
    <w:rsid w:val="008B1EFD"/>
    <w:rsid w:val="008B2E04"/>
    <w:rsid w:val="008B4EC0"/>
    <w:rsid w:val="008B5625"/>
    <w:rsid w:val="008C09D2"/>
    <w:rsid w:val="008C54B0"/>
    <w:rsid w:val="008D136F"/>
    <w:rsid w:val="008D4F49"/>
    <w:rsid w:val="008E18AA"/>
    <w:rsid w:val="008E323F"/>
    <w:rsid w:val="008E7BE3"/>
    <w:rsid w:val="008F1D9D"/>
    <w:rsid w:val="008F22C9"/>
    <w:rsid w:val="00904D90"/>
    <w:rsid w:val="00905BC4"/>
    <w:rsid w:val="00911E2B"/>
    <w:rsid w:val="00916DBD"/>
    <w:rsid w:val="0092001D"/>
    <w:rsid w:val="00926C75"/>
    <w:rsid w:val="00931CA5"/>
    <w:rsid w:val="009323F9"/>
    <w:rsid w:val="009446CC"/>
    <w:rsid w:val="009554C2"/>
    <w:rsid w:val="00956A1D"/>
    <w:rsid w:val="00961745"/>
    <w:rsid w:val="00962BD6"/>
    <w:rsid w:val="00964CC6"/>
    <w:rsid w:val="0096500C"/>
    <w:rsid w:val="00966B1A"/>
    <w:rsid w:val="009714D0"/>
    <w:rsid w:val="00977D72"/>
    <w:rsid w:val="00993385"/>
    <w:rsid w:val="00995FB9"/>
    <w:rsid w:val="00997CB8"/>
    <w:rsid w:val="009A1E5E"/>
    <w:rsid w:val="009A4330"/>
    <w:rsid w:val="009A4E90"/>
    <w:rsid w:val="009A7854"/>
    <w:rsid w:val="009A7992"/>
    <w:rsid w:val="009B1557"/>
    <w:rsid w:val="009B1B02"/>
    <w:rsid w:val="009B2C9B"/>
    <w:rsid w:val="009B3B65"/>
    <w:rsid w:val="009B466A"/>
    <w:rsid w:val="009B7C5F"/>
    <w:rsid w:val="009C5B45"/>
    <w:rsid w:val="009C7FD2"/>
    <w:rsid w:val="009D0969"/>
    <w:rsid w:val="009D2108"/>
    <w:rsid w:val="009D38F7"/>
    <w:rsid w:val="009E04C2"/>
    <w:rsid w:val="009E0B62"/>
    <w:rsid w:val="009E1E1C"/>
    <w:rsid w:val="009E5EA8"/>
    <w:rsid w:val="009E658F"/>
    <w:rsid w:val="009E7A74"/>
    <w:rsid w:val="009F1713"/>
    <w:rsid w:val="009F217D"/>
    <w:rsid w:val="009F60C9"/>
    <w:rsid w:val="00A06AF1"/>
    <w:rsid w:val="00A07AA1"/>
    <w:rsid w:val="00A12279"/>
    <w:rsid w:val="00A1382B"/>
    <w:rsid w:val="00A171D9"/>
    <w:rsid w:val="00A1765F"/>
    <w:rsid w:val="00A178C3"/>
    <w:rsid w:val="00A17BAB"/>
    <w:rsid w:val="00A17CB9"/>
    <w:rsid w:val="00A21059"/>
    <w:rsid w:val="00A23300"/>
    <w:rsid w:val="00A23C06"/>
    <w:rsid w:val="00A243E6"/>
    <w:rsid w:val="00A25CB3"/>
    <w:rsid w:val="00A308CC"/>
    <w:rsid w:val="00A35448"/>
    <w:rsid w:val="00A36FE9"/>
    <w:rsid w:val="00A62B26"/>
    <w:rsid w:val="00A662A0"/>
    <w:rsid w:val="00A66C45"/>
    <w:rsid w:val="00A818C7"/>
    <w:rsid w:val="00A97972"/>
    <w:rsid w:val="00AA1681"/>
    <w:rsid w:val="00AA578E"/>
    <w:rsid w:val="00AA75E7"/>
    <w:rsid w:val="00AB0DDC"/>
    <w:rsid w:val="00AB2EC3"/>
    <w:rsid w:val="00AC298B"/>
    <w:rsid w:val="00AC37CC"/>
    <w:rsid w:val="00AC6EC5"/>
    <w:rsid w:val="00AD23A7"/>
    <w:rsid w:val="00AE1612"/>
    <w:rsid w:val="00AE6BAF"/>
    <w:rsid w:val="00AE7329"/>
    <w:rsid w:val="00AF3061"/>
    <w:rsid w:val="00B00526"/>
    <w:rsid w:val="00B01F02"/>
    <w:rsid w:val="00B033BB"/>
    <w:rsid w:val="00B11181"/>
    <w:rsid w:val="00B15B50"/>
    <w:rsid w:val="00B17BDC"/>
    <w:rsid w:val="00B23F29"/>
    <w:rsid w:val="00B304E5"/>
    <w:rsid w:val="00B32551"/>
    <w:rsid w:val="00B45461"/>
    <w:rsid w:val="00B45C8A"/>
    <w:rsid w:val="00B55235"/>
    <w:rsid w:val="00B56EA2"/>
    <w:rsid w:val="00B60023"/>
    <w:rsid w:val="00B60590"/>
    <w:rsid w:val="00B62B42"/>
    <w:rsid w:val="00B631C6"/>
    <w:rsid w:val="00B6487F"/>
    <w:rsid w:val="00B74FFB"/>
    <w:rsid w:val="00B76170"/>
    <w:rsid w:val="00B76EBE"/>
    <w:rsid w:val="00B81C15"/>
    <w:rsid w:val="00B838CF"/>
    <w:rsid w:val="00B84398"/>
    <w:rsid w:val="00B90193"/>
    <w:rsid w:val="00B92E6F"/>
    <w:rsid w:val="00B955BC"/>
    <w:rsid w:val="00B95A81"/>
    <w:rsid w:val="00B95BE1"/>
    <w:rsid w:val="00BA256B"/>
    <w:rsid w:val="00BA4B7F"/>
    <w:rsid w:val="00BA5D8B"/>
    <w:rsid w:val="00BB4E11"/>
    <w:rsid w:val="00BC0202"/>
    <w:rsid w:val="00BC289F"/>
    <w:rsid w:val="00BC3CB9"/>
    <w:rsid w:val="00BC511F"/>
    <w:rsid w:val="00BC5766"/>
    <w:rsid w:val="00BD0F08"/>
    <w:rsid w:val="00BE2F8A"/>
    <w:rsid w:val="00BE5A1A"/>
    <w:rsid w:val="00BE60FB"/>
    <w:rsid w:val="00BF6436"/>
    <w:rsid w:val="00BF71F2"/>
    <w:rsid w:val="00C02958"/>
    <w:rsid w:val="00C04082"/>
    <w:rsid w:val="00C05A1D"/>
    <w:rsid w:val="00C06FEC"/>
    <w:rsid w:val="00C12139"/>
    <w:rsid w:val="00C134AA"/>
    <w:rsid w:val="00C14329"/>
    <w:rsid w:val="00C145BD"/>
    <w:rsid w:val="00C20F77"/>
    <w:rsid w:val="00C242F4"/>
    <w:rsid w:val="00C32C06"/>
    <w:rsid w:val="00C34EB7"/>
    <w:rsid w:val="00C365F8"/>
    <w:rsid w:val="00C429CA"/>
    <w:rsid w:val="00C559B7"/>
    <w:rsid w:val="00C55A7C"/>
    <w:rsid w:val="00C55EE7"/>
    <w:rsid w:val="00C56BDA"/>
    <w:rsid w:val="00C57B6E"/>
    <w:rsid w:val="00C6111A"/>
    <w:rsid w:val="00C612CC"/>
    <w:rsid w:val="00C62973"/>
    <w:rsid w:val="00C62C1C"/>
    <w:rsid w:val="00C7051E"/>
    <w:rsid w:val="00C71F6F"/>
    <w:rsid w:val="00C82F6F"/>
    <w:rsid w:val="00C87DA1"/>
    <w:rsid w:val="00C960E3"/>
    <w:rsid w:val="00CB1C38"/>
    <w:rsid w:val="00CB1E24"/>
    <w:rsid w:val="00CB2E17"/>
    <w:rsid w:val="00CB463B"/>
    <w:rsid w:val="00CB5209"/>
    <w:rsid w:val="00CC4AEA"/>
    <w:rsid w:val="00CD245C"/>
    <w:rsid w:val="00CD4360"/>
    <w:rsid w:val="00CD71B7"/>
    <w:rsid w:val="00CE3756"/>
    <w:rsid w:val="00CF33D7"/>
    <w:rsid w:val="00CF4FA9"/>
    <w:rsid w:val="00CF7510"/>
    <w:rsid w:val="00CF7A0D"/>
    <w:rsid w:val="00D00569"/>
    <w:rsid w:val="00D00DEE"/>
    <w:rsid w:val="00D01CBC"/>
    <w:rsid w:val="00D048F0"/>
    <w:rsid w:val="00D10D4E"/>
    <w:rsid w:val="00D1319B"/>
    <w:rsid w:val="00D2472D"/>
    <w:rsid w:val="00D24972"/>
    <w:rsid w:val="00D32284"/>
    <w:rsid w:val="00D42865"/>
    <w:rsid w:val="00D428C4"/>
    <w:rsid w:val="00D46A0D"/>
    <w:rsid w:val="00D46DA0"/>
    <w:rsid w:val="00D503D8"/>
    <w:rsid w:val="00D52E1D"/>
    <w:rsid w:val="00D571EE"/>
    <w:rsid w:val="00D60701"/>
    <w:rsid w:val="00D61643"/>
    <w:rsid w:val="00D64AAC"/>
    <w:rsid w:val="00D64E3E"/>
    <w:rsid w:val="00D6507E"/>
    <w:rsid w:val="00D7619E"/>
    <w:rsid w:val="00D90253"/>
    <w:rsid w:val="00D90A64"/>
    <w:rsid w:val="00D9133D"/>
    <w:rsid w:val="00D93D7E"/>
    <w:rsid w:val="00DA3C5A"/>
    <w:rsid w:val="00DA4327"/>
    <w:rsid w:val="00DA5D83"/>
    <w:rsid w:val="00DA766D"/>
    <w:rsid w:val="00DB1D53"/>
    <w:rsid w:val="00DC6B8D"/>
    <w:rsid w:val="00DD16B1"/>
    <w:rsid w:val="00DD342E"/>
    <w:rsid w:val="00DD56F7"/>
    <w:rsid w:val="00DE029F"/>
    <w:rsid w:val="00DE4142"/>
    <w:rsid w:val="00DE68FC"/>
    <w:rsid w:val="00E06BBA"/>
    <w:rsid w:val="00E07D3B"/>
    <w:rsid w:val="00E10B72"/>
    <w:rsid w:val="00E10E9A"/>
    <w:rsid w:val="00E12B41"/>
    <w:rsid w:val="00E14165"/>
    <w:rsid w:val="00E26461"/>
    <w:rsid w:val="00E302E5"/>
    <w:rsid w:val="00E358E1"/>
    <w:rsid w:val="00E46B4E"/>
    <w:rsid w:val="00E50507"/>
    <w:rsid w:val="00E54C19"/>
    <w:rsid w:val="00E6212A"/>
    <w:rsid w:val="00E71484"/>
    <w:rsid w:val="00E7684C"/>
    <w:rsid w:val="00E846A9"/>
    <w:rsid w:val="00E87E0E"/>
    <w:rsid w:val="00EA4734"/>
    <w:rsid w:val="00EA4C39"/>
    <w:rsid w:val="00EA4D2A"/>
    <w:rsid w:val="00EA56CF"/>
    <w:rsid w:val="00EA6216"/>
    <w:rsid w:val="00EA7A9A"/>
    <w:rsid w:val="00EB5289"/>
    <w:rsid w:val="00EC0F1C"/>
    <w:rsid w:val="00EC3CD2"/>
    <w:rsid w:val="00EC4315"/>
    <w:rsid w:val="00ED1C9D"/>
    <w:rsid w:val="00EE0A25"/>
    <w:rsid w:val="00EE4200"/>
    <w:rsid w:val="00EF1DF9"/>
    <w:rsid w:val="00EF401E"/>
    <w:rsid w:val="00EF4F2B"/>
    <w:rsid w:val="00EF51FF"/>
    <w:rsid w:val="00F12E7C"/>
    <w:rsid w:val="00F20247"/>
    <w:rsid w:val="00F279DD"/>
    <w:rsid w:val="00F35634"/>
    <w:rsid w:val="00F54874"/>
    <w:rsid w:val="00F61905"/>
    <w:rsid w:val="00F62843"/>
    <w:rsid w:val="00F7168F"/>
    <w:rsid w:val="00F764AD"/>
    <w:rsid w:val="00F80E54"/>
    <w:rsid w:val="00F81D24"/>
    <w:rsid w:val="00F84196"/>
    <w:rsid w:val="00F96E92"/>
    <w:rsid w:val="00FA5478"/>
    <w:rsid w:val="00FB3396"/>
    <w:rsid w:val="00FB4F80"/>
    <w:rsid w:val="00FC471F"/>
    <w:rsid w:val="00FC66BF"/>
    <w:rsid w:val="00FD0976"/>
    <w:rsid w:val="00FD1F4D"/>
    <w:rsid w:val="00FD2777"/>
    <w:rsid w:val="00FD5AF9"/>
    <w:rsid w:val="00FD6459"/>
    <w:rsid w:val="00FD7359"/>
    <w:rsid w:val="00FE7583"/>
    <w:rsid w:val="00FF6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7C6"/>
  </w:style>
  <w:style w:type="paragraph" w:styleId="Heading1">
    <w:name w:val="heading 1"/>
    <w:basedOn w:val="Normal"/>
    <w:link w:val="Heading1Char"/>
    <w:uiPriority w:val="9"/>
    <w:qFormat/>
    <w:rsid w:val="00423A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23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23A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17A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17AF9"/>
  </w:style>
  <w:style w:type="paragraph" w:styleId="Footer">
    <w:name w:val="footer"/>
    <w:basedOn w:val="Normal"/>
    <w:link w:val="FooterChar"/>
    <w:uiPriority w:val="99"/>
    <w:unhideWhenUsed/>
    <w:rsid w:val="00517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F9"/>
  </w:style>
  <w:style w:type="paragraph" w:customStyle="1" w:styleId="NoParagraphStyle">
    <w:name w:val="[No Paragraph Style]"/>
    <w:rsid w:val="001956DF"/>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asicParagraph">
    <w:name w:val="[Basic Paragraph]"/>
    <w:basedOn w:val="NoParagraphStyle"/>
    <w:uiPriority w:val="99"/>
    <w:rsid w:val="001956DF"/>
  </w:style>
  <w:style w:type="character" w:styleId="Hyperlink">
    <w:name w:val="Hyperlink"/>
    <w:basedOn w:val="DefaultParagraphFont"/>
    <w:uiPriority w:val="99"/>
    <w:semiHidden/>
    <w:unhideWhenUsed/>
    <w:rsid w:val="00FC66BF"/>
    <w:rPr>
      <w:color w:val="0563C1"/>
      <w:u w:val="single"/>
    </w:rPr>
  </w:style>
  <w:style w:type="character" w:customStyle="1" w:styleId="apple-converted-space">
    <w:name w:val="apple-converted-space"/>
    <w:basedOn w:val="DefaultParagraphFont"/>
    <w:rsid w:val="003E7DE1"/>
  </w:style>
  <w:style w:type="paragraph" w:customStyle="1" w:styleId="psection-1">
    <w:name w:val="psection-1"/>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3E7DE1"/>
  </w:style>
  <w:style w:type="character" w:customStyle="1" w:styleId="et03">
    <w:name w:val="et03"/>
    <w:basedOn w:val="DefaultParagraphFont"/>
    <w:rsid w:val="003E7DE1"/>
  </w:style>
  <w:style w:type="paragraph" w:customStyle="1" w:styleId="psection-2">
    <w:name w:val="psection-2"/>
    <w:basedOn w:val="Normal"/>
    <w:rsid w:val="003E7D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23A5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23A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23A5A"/>
    <w:rPr>
      <w:b/>
      <w:bCs/>
    </w:rPr>
  </w:style>
  <w:style w:type="character" w:styleId="Emphasis">
    <w:name w:val="Emphasis"/>
    <w:basedOn w:val="DefaultParagraphFont"/>
    <w:uiPriority w:val="20"/>
    <w:qFormat/>
    <w:rsid w:val="00423A5A"/>
    <w:rPr>
      <w:i/>
      <w:iCs/>
    </w:rPr>
  </w:style>
  <w:style w:type="character" w:customStyle="1" w:styleId="Heading3Char">
    <w:name w:val="Heading 3 Char"/>
    <w:basedOn w:val="DefaultParagraphFont"/>
    <w:link w:val="Heading3"/>
    <w:uiPriority w:val="9"/>
    <w:semiHidden/>
    <w:rsid w:val="00423A5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A23C0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455654">
      <w:bodyDiv w:val="1"/>
      <w:marLeft w:val="0"/>
      <w:marRight w:val="0"/>
      <w:marTop w:val="0"/>
      <w:marBottom w:val="0"/>
      <w:divBdr>
        <w:top w:val="none" w:sz="0" w:space="0" w:color="auto"/>
        <w:left w:val="none" w:sz="0" w:space="0" w:color="auto"/>
        <w:bottom w:val="none" w:sz="0" w:space="0" w:color="auto"/>
        <w:right w:val="none" w:sz="0" w:space="0" w:color="auto"/>
      </w:divBdr>
    </w:div>
    <w:div w:id="199779029">
      <w:bodyDiv w:val="1"/>
      <w:marLeft w:val="0"/>
      <w:marRight w:val="0"/>
      <w:marTop w:val="0"/>
      <w:marBottom w:val="0"/>
      <w:divBdr>
        <w:top w:val="none" w:sz="0" w:space="0" w:color="auto"/>
        <w:left w:val="none" w:sz="0" w:space="0" w:color="auto"/>
        <w:bottom w:val="none" w:sz="0" w:space="0" w:color="auto"/>
        <w:right w:val="none" w:sz="0" w:space="0" w:color="auto"/>
      </w:divBdr>
      <w:divsChild>
        <w:div w:id="1512067638">
          <w:marLeft w:val="0"/>
          <w:marRight w:val="0"/>
          <w:marTop w:val="0"/>
          <w:marBottom w:val="0"/>
          <w:divBdr>
            <w:top w:val="none" w:sz="0" w:space="0" w:color="auto"/>
            <w:left w:val="none" w:sz="0" w:space="0" w:color="auto"/>
            <w:bottom w:val="none" w:sz="0" w:space="0" w:color="auto"/>
            <w:right w:val="none" w:sz="0" w:space="0" w:color="auto"/>
          </w:divBdr>
        </w:div>
      </w:divsChild>
    </w:div>
    <w:div w:id="585312422">
      <w:bodyDiv w:val="1"/>
      <w:marLeft w:val="0"/>
      <w:marRight w:val="0"/>
      <w:marTop w:val="0"/>
      <w:marBottom w:val="0"/>
      <w:divBdr>
        <w:top w:val="none" w:sz="0" w:space="0" w:color="auto"/>
        <w:left w:val="none" w:sz="0" w:space="0" w:color="auto"/>
        <w:bottom w:val="none" w:sz="0" w:space="0" w:color="auto"/>
        <w:right w:val="none" w:sz="0" w:space="0" w:color="auto"/>
      </w:divBdr>
    </w:div>
    <w:div w:id="737093564">
      <w:bodyDiv w:val="1"/>
      <w:marLeft w:val="0"/>
      <w:marRight w:val="0"/>
      <w:marTop w:val="0"/>
      <w:marBottom w:val="0"/>
      <w:divBdr>
        <w:top w:val="none" w:sz="0" w:space="0" w:color="auto"/>
        <w:left w:val="none" w:sz="0" w:space="0" w:color="auto"/>
        <w:bottom w:val="none" w:sz="0" w:space="0" w:color="auto"/>
        <w:right w:val="none" w:sz="0" w:space="0" w:color="auto"/>
      </w:divBdr>
    </w:div>
    <w:div w:id="924000900">
      <w:bodyDiv w:val="1"/>
      <w:marLeft w:val="0"/>
      <w:marRight w:val="0"/>
      <w:marTop w:val="0"/>
      <w:marBottom w:val="0"/>
      <w:divBdr>
        <w:top w:val="none" w:sz="0" w:space="0" w:color="auto"/>
        <w:left w:val="none" w:sz="0" w:space="0" w:color="auto"/>
        <w:bottom w:val="none" w:sz="0" w:space="0" w:color="auto"/>
        <w:right w:val="none" w:sz="0" w:space="0" w:color="auto"/>
      </w:divBdr>
    </w:div>
    <w:div w:id="1015882387">
      <w:bodyDiv w:val="1"/>
      <w:marLeft w:val="0"/>
      <w:marRight w:val="0"/>
      <w:marTop w:val="0"/>
      <w:marBottom w:val="0"/>
      <w:divBdr>
        <w:top w:val="none" w:sz="0" w:space="0" w:color="auto"/>
        <w:left w:val="none" w:sz="0" w:space="0" w:color="auto"/>
        <w:bottom w:val="none" w:sz="0" w:space="0" w:color="auto"/>
        <w:right w:val="none" w:sz="0" w:space="0" w:color="auto"/>
      </w:divBdr>
    </w:div>
    <w:div w:id="1448164212">
      <w:bodyDiv w:val="1"/>
      <w:marLeft w:val="0"/>
      <w:marRight w:val="0"/>
      <w:marTop w:val="0"/>
      <w:marBottom w:val="0"/>
      <w:divBdr>
        <w:top w:val="none" w:sz="0" w:space="0" w:color="auto"/>
        <w:left w:val="none" w:sz="0" w:space="0" w:color="auto"/>
        <w:bottom w:val="none" w:sz="0" w:space="0" w:color="auto"/>
        <w:right w:val="none" w:sz="0" w:space="0" w:color="auto"/>
      </w:divBdr>
      <w:divsChild>
        <w:div w:id="539320183">
          <w:marLeft w:val="0"/>
          <w:marRight w:val="0"/>
          <w:marTop w:val="0"/>
          <w:marBottom w:val="0"/>
          <w:divBdr>
            <w:top w:val="none" w:sz="0" w:space="0" w:color="auto"/>
            <w:left w:val="none" w:sz="0" w:space="0" w:color="auto"/>
            <w:bottom w:val="none" w:sz="0" w:space="0" w:color="auto"/>
            <w:right w:val="none" w:sz="0" w:space="0" w:color="auto"/>
          </w:divBdr>
        </w:div>
        <w:div w:id="183860739">
          <w:marLeft w:val="0"/>
          <w:marRight w:val="0"/>
          <w:marTop w:val="0"/>
          <w:marBottom w:val="0"/>
          <w:divBdr>
            <w:top w:val="none" w:sz="0" w:space="0" w:color="auto"/>
            <w:left w:val="none" w:sz="0" w:space="0" w:color="auto"/>
            <w:bottom w:val="none" w:sz="0" w:space="0" w:color="auto"/>
            <w:right w:val="none" w:sz="0" w:space="0" w:color="auto"/>
          </w:divBdr>
        </w:div>
        <w:div w:id="204491036">
          <w:marLeft w:val="0"/>
          <w:marRight w:val="365"/>
          <w:marTop w:val="0"/>
          <w:marBottom w:val="0"/>
          <w:divBdr>
            <w:top w:val="none" w:sz="0" w:space="0" w:color="auto"/>
            <w:left w:val="none" w:sz="0" w:space="0" w:color="auto"/>
            <w:bottom w:val="none" w:sz="0" w:space="0" w:color="auto"/>
            <w:right w:val="none" w:sz="0" w:space="0" w:color="auto"/>
          </w:divBdr>
          <w:divsChild>
            <w:div w:id="187375725">
              <w:marLeft w:val="0"/>
              <w:marRight w:val="0"/>
              <w:marTop w:val="0"/>
              <w:marBottom w:val="0"/>
              <w:divBdr>
                <w:top w:val="none" w:sz="0" w:space="0" w:color="auto"/>
                <w:left w:val="none" w:sz="0" w:space="0" w:color="auto"/>
                <w:bottom w:val="none" w:sz="0" w:space="0" w:color="auto"/>
                <w:right w:val="none" w:sz="0" w:space="0" w:color="auto"/>
              </w:divBdr>
              <w:divsChild>
                <w:div w:id="2076467549">
                  <w:marLeft w:val="0"/>
                  <w:marRight w:val="0"/>
                  <w:marTop w:val="0"/>
                  <w:marBottom w:val="0"/>
                  <w:divBdr>
                    <w:top w:val="none" w:sz="0" w:space="0" w:color="auto"/>
                    <w:left w:val="none" w:sz="0" w:space="0" w:color="auto"/>
                    <w:bottom w:val="none" w:sz="0" w:space="0" w:color="auto"/>
                    <w:right w:val="none" w:sz="0" w:space="0" w:color="auto"/>
                  </w:divBdr>
                </w:div>
                <w:div w:id="1546334790">
                  <w:marLeft w:val="0"/>
                  <w:marRight w:val="0"/>
                  <w:marTop w:val="0"/>
                  <w:marBottom w:val="0"/>
                  <w:divBdr>
                    <w:top w:val="none" w:sz="0" w:space="0" w:color="auto"/>
                    <w:left w:val="none" w:sz="0" w:space="0" w:color="auto"/>
                    <w:bottom w:val="none" w:sz="0" w:space="0" w:color="auto"/>
                    <w:right w:val="none" w:sz="0" w:space="0" w:color="auto"/>
                  </w:divBdr>
                </w:div>
                <w:div w:id="932395102">
                  <w:marLeft w:val="0"/>
                  <w:marRight w:val="0"/>
                  <w:marTop w:val="0"/>
                  <w:marBottom w:val="0"/>
                  <w:divBdr>
                    <w:top w:val="none" w:sz="0" w:space="0" w:color="auto"/>
                    <w:left w:val="none" w:sz="0" w:space="0" w:color="auto"/>
                    <w:bottom w:val="none" w:sz="0" w:space="0" w:color="auto"/>
                    <w:right w:val="none" w:sz="0" w:space="0" w:color="auto"/>
                  </w:divBdr>
                </w:div>
                <w:div w:id="2064281779">
                  <w:marLeft w:val="0"/>
                  <w:marRight w:val="0"/>
                  <w:marTop w:val="0"/>
                  <w:marBottom w:val="0"/>
                  <w:divBdr>
                    <w:top w:val="none" w:sz="0" w:space="0" w:color="auto"/>
                    <w:left w:val="none" w:sz="0" w:space="0" w:color="auto"/>
                    <w:bottom w:val="none" w:sz="0" w:space="0" w:color="auto"/>
                    <w:right w:val="none" w:sz="0" w:space="0" w:color="auto"/>
                  </w:divBdr>
                </w:div>
                <w:div w:id="884605990">
                  <w:marLeft w:val="0"/>
                  <w:marRight w:val="0"/>
                  <w:marTop w:val="0"/>
                  <w:marBottom w:val="0"/>
                  <w:divBdr>
                    <w:top w:val="none" w:sz="0" w:space="0" w:color="auto"/>
                    <w:left w:val="none" w:sz="0" w:space="0" w:color="auto"/>
                    <w:bottom w:val="none" w:sz="0" w:space="0" w:color="auto"/>
                    <w:right w:val="none" w:sz="0" w:space="0" w:color="auto"/>
                  </w:divBdr>
                </w:div>
                <w:div w:id="511453730">
                  <w:marLeft w:val="0"/>
                  <w:marRight w:val="0"/>
                  <w:marTop w:val="0"/>
                  <w:marBottom w:val="0"/>
                  <w:divBdr>
                    <w:top w:val="none" w:sz="0" w:space="0" w:color="auto"/>
                    <w:left w:val="none" w:sz="0" w:space="0" w:color="auto"/>
                    <w:bottom w:val="none" w:sz="0" w:space="0" w:color="auto"/>
                    <w:right w:val="none" w:sz="0" w:space="0" w:color="auto"/>
                  </w:divBdr>
                </w:div>
                <w:div w:id="1563784400">
                  <w:marLeft w:val="0"/>
                  <w:marRight w:val="0"/>
                  <w:marTop w:val="0"/>
                  <w:marBottom w:val="0"/>
                  <w:divBdr>
                    <w:top w:val="none" w:sz="0" w:space="0" w:color="auto"/>
                    <w:left w:val="none" w:sz="0" w:space="0" w:color="auto"/>
                    <w:bottom w:val="none" w:sz="0" w:space="0" w:color="auto"/>
                    <w:right w:val="none" w:sz="0" w:space="0" w:color="auto"/>
                  </w:divBdr>
                </w:div>
                <w:div w:id="2036539965">
                  <w:marLeft w:val="0"/>
                  <w:marRight w:val="0"/>
                  <w:marTop w:val="0"/>
                  <w:marBottom w:val="0"/>
                  <w:divBdr>
                    <w:top w:val="none" w:sz="0" w:space="0" w:color="auto"/>
                    <w:left w:val="none" w:sz="0" w:space="0" w:color="auto"/>
                    <w:bottom w:val="none" w:sz="0" w:space="0" w:color="auto"/>
                    <w:right w:val="none" w:sz="0" w:space="0" w:color="auto"/>
                  </w:divBdr>
                </w:div>
                <w:div w:id="2129422843">
                  <w:marLeft w:val="0"/>
                  <w:marRight w:val="0"/>
                  <w:marTop w:val="0"/>
                  <w:marBottom w:val="0"/>
                  <w:divBdr>
                    <w:top w:val="none" w:sz="0" w:space="0" w:color="auto"/>
                    <w:left w:val="none" w:sz="0" w:space="0" w:color="auto"/>
                    <w:bottom w:val="none" w:sz="0" w:space="0" w:color="auto"/>
                    <w:right w:val="none" w:sz="0" w:space="0" w:color="auto"/>
                  </w:divBdr>
                </w:div>
                <w:div w:id="1640070372">
                  <w:marLeft w:val="0"/>
                  <w:marRight w:val="0"/>
                  <w:marTop w:val="0"/>
                  <w:marBottom w:val="0"/>
                  <w:divBdr>
                    <w:top w:val="none" w:sz="0" w:space="0" w:color="auto"/>
                    <w:left w:val="none" w:sz="0" w:space="0" w:color="auto"/>
                    <w:bottom w:val="none" w:sz="0" w:space="0" w:color="auto"/>
                    <w:right w:val="none" w:sz="0" w:space="0" w:color="auto"/>
                  </w:divBdr>
                </w:div>
                <w:div w:id="1427771162">
                  <w:marLeft w:val="0"/>
                  <w:marRight w:val="0"/>
                  <w:marTop w:val="0"/>
                  <w:marBottom w:val="0"/>
                  <w:divBdr>
                    <w:top w:val="none" w:sz="0" w:space="0" w:color="auto"/>
                    <w:left w:val="none" w:sz="0" w:space="0" w:color="auto"/>
                    <w:bottom w:val="none" w:sz="0" w:space="0" w:color="auto"/>
                    <w:right w:val="none" w:sz="0" w:space="0" w:color="auto"/>
                  </w:divBdr>
                </w:div>
                <w:div w:id="1529174639">
                  <w:marLeft w:val="0"/>
                  <w:marRight w:val="0"/>
                  <w:marTop w:val="0"/>
                  <w:marBottom w:val="0"/>
                  <w:divBdr>
                    <w:top w:val="none" w:sz="0" w:space="0" w:color="auto"/>
                    <w:left w:val="none" w:sz="0" w:space="0" w:color="auto"/>
                    <w:bottom w:val="none" w:sz="0" w:space="0" w:color="auto"/>
                    <w:right w:val="none" w:sz="0" w:space="0" w:color="auto"/>
                  </w:divBdr>
                </w:div>
                <w:div w:id="159082908">
                  <w:marLeft w:val="0"/>
                  <w:marRight w:val="0"/>
                  <w:marTop w:val="0"/>
                  <w:marBottom w:val="0"/>
                  <w:divBdr>
                    <w:top w:val="none" w:sz="0" w:space="0" w:color="auto"/>
                    <w:left w:val="none" w:sz="0" w:space="0" w:color="auto"/>
                    <w:bottom w:val="none" w:sz="0" w:space="0" w:color="auto"/>
                    <w:right w:val="none" w:sz="0" w:space="0" w:color="auto"/>
                  </w:divBdr>
                </w:div>
                <w:div w:id="678972260">
                  <w:marLeft w:val="0"/>
                  <w:marRight w:val="0"/>
                  <w:marTop w:val="0"/>
                  <w:marBottom w:val="0"/>
                  <w:divBdr>
                    <w:top w:val="none" w:sz="0" w:space="0" w:color="auto"/>
                    <w:left w:val="none" w:sz="0" w:space="0" w:color="auto"/>
                    <w:bottom w:val="none" w:sz="0" w:space="0" w:color="auto"/>
                    <w:right w:val="none" w:sz="0" w:space="0" w:color="auto"/>
                  </w:divBdr>
                </w:div>
                <w:div w:id="1658920362">
                  <w:marLeft w:val="0"/>
                  <w:marRight w:val="0"/>
                  <w:marTop w:val="0"/>
                  <w:marBottom w:val="0"/>
                  <w:divBdr>
                    <w:top w:val="none" w:sz="0" w:space="0" w:color="auto"/>
                    <w:left w:val="none" w:sz="0" w:space="0" w:color="auto"/>
                    <w:bottom w:val="none" w:sz="0" w:space="0" w:color="auto"/>
                    <w:right w:val="none" w:sz="0" w:space="0" w:color="auto"/>
                  </w:divBdr>
                </w:div>
                <w:div w:id="84346122">
                  <w:marLeft w:val="0"/>
                  <w:marRight w:val="0"/>
                  <w:marTop w:val="0"/>
                  <w:marBottom w:val="0"/>
                  <w:divBdr>
                    <w:top w:val="none" w:sz="0" w:space="0" w:color="auto"/>
                    <w:left w:val="none" w:sz="0" w:space="0" w:color="auto"/>
                    <w:bottom w:val="none" w:sz="0" w:space="0" w:color="auto"/>
                    <w:right w:val="none" w:sz="0" w:space="0" w:color="auto"/>
                  </w:divBdr>
                </w:div>
                <w:div w:id="1576356209">
                  <w:marLeft w:val="0"/>
                  <w:marRight w:val="0"/>
                  <w:marTop w:val="0"/>
                  <w:marBottom w:val="0"/>
                  <w:divBdr>
                    <w:top w:val="none" w:sz="0" w:space="0" w:color="auto"/>
                    <w:left w:val="none" w:sz="0" w:space="0" w:color="auto"/>
                    <w:bottom w:val="none" w:sz="0" w:space="0" w:color="auto"/>
                    <w:right w:val="none" w:sz="0" w:space="0" w:color="auto"/>
                  </w:divBdr>
                </w:div>
                <w:div w:id="445391099">
                  <w:marLeft w:val="0"/>
                  <w:marRight w:val="0"/>
                  <w:marTop w:val="0"/>
                  <w:marBottom w:val="0"/>
                  <w:divBdr>
                    <w:top w:val="none" w:sz="0" w:space="0" w:color="auto"/>
                    <w:left w:val="none" w:sz="0" w:space="0" w:color="auto"/>
                    <w:bottom w:val="none" w:sz="0" w:space="0" w:color="auto"/>
                    <w:right w:val="none" w:sz="0" w:space="0" w:color="auto"/>
                  </w:divBdr>
                </w:div>
                <w:div w:id="1283150824">
                  <w:marLeft w:val="0"/>
                  <w:marRight w:val="0"/>
                  <w:marTop w:val="0"/>
                  <w:marBottom w:val="0"/>
                  <w:divBdr>
                    <w:top w:val="none" w:sz="0" w:space="0" w:color="auto"/>
                    <w:left w:val="none" w:sz="0" w:space="0" w:color="auto"/>
                    <w:bottom w:val="none" w:sz="0" w:space="0" w:color="auto"/>
                    <w:right w:val="none" w:sz="0" w:space="0" w:color="auto"/>
                  </w:divBdr>
                </w:div>
                <w:div w:id="222370987">
                  <w:marLeft w:val="0"/>
                  <w:marRight w:val="0"/>
                  <w:marTop w:val="0"/>
                  <w:marBottom w:val="0"/>
                  <w:divBdr>
                    <w:top w:val="none" w:sz="0" w:space="0" w:color="auto"/>
                    <w:left w:val="none" w:sz="0" w:space="0" w:color="auto"/>
                    <w:bottom w:val="none" w:sz="0" w:space="0" w:color="auto"/>
                    <w:right w:val="none" w:sz="0" w:space="0" w:color="auto"/>
                  </w:divBdr>
                </w:div>
                <w:div w:id="1427847579">
                  <w:marLeft w:val="0"/>
                  <w:marRight w:val="0"/>
                  <w:marTop w:val="0"/>
                  <w:marBottom w:val="0"/>
                  <w:divBdr>
                    <w:top w:val="none" w:sz="0" w:space="0" w:color="auto"/>
                    <w:left w:val="none" w:sz="0" w:space="0" w:color="auto"/>
                    <w:bottom w:val="none" w:sz="0" w:space="0" w:color="auto"/>
                    <w:right w:val="none" w:sz="0" w:space="0" w:color="auto"/>
                  </w:divBdr>
                </w:div>
                <w:div w:id="2146267986">
                  <w:marLeft w:val="0"/>
                  <w:marRight w:val="0"/>
                  <w:marTop w:val="0"/>
                  <w:marBottom w:val="0"/>
                  <w:divBdr>
                    <w:top w:val="none" w:sz="0" w:space="0" w:color="auto"/>
                    <w:left w:val="none" w:sz="0" w:space="0" w:color="auto"/>
                    <w:bottom w:val="none" w:sz="0" w:space="0" w:color="auto"/>
                    <w:right w:val="none" w:sz="0" w:space="0" w:color="auto"/>
                  </w:divBdr>
                </w:div>
                <w:div w:id="6769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4F60A-B644-4627-BCB2-176B26CF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Greg Moss Design</Company>
  <LinksUpToDate>false</LinksUpToDate>
  <CharactersWithSpaces>5769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Moss</dc:creator>
  <cp:lastModifiedBy>GeorgeFox</cp:lastModifiedBy>
  <cp:revision>2</cp:revision>
  <cp:lastPrinted>2017-05-01T20:28:00Z</cp:lastPrinted>
  <dcterms:created xsi:type="dcterms:W3CDTF">2017-05-23T18:48:00Z</dcterms:created>
  <dcterms:modified xsi:type="dcterms:W3CDTF">2017-05-23T18:48:00Z</dcterms:modified>
</cp:coreProperties>
</file>